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CB0D" w14:textId="77777777" w:rsidR="00625D26" w:rsidRDefault="00625D26">
      <w:pPr>
        <w:pStyle w:val="Corpodetexto"/>
        <w:rPr>
          <w:rFonts w:ascii="Times New Roman"/>
          <w:sz w:val="36"/>
        </w:rPr>
      </w:pPr>
    </w:p>
    <w:p w14:paraId="49549E38" w14:textId="77777777" w:rsidR="00625D26" w:rsidRDefault="00625D26">
      <w:pPr>
        <w:pStyle w:val="Corpodetexto"/>
        <w:rPr>
          <w:rFonts w:ascii="Times New Roman"/>
          <w:sz w:val="36"/>
        </w:rPr>
      </w:pPr>
    </w:p>
    <w:p w14:paraId="4EC677E7" w14:textId="77777777" w:rsidR="00625D26" w:rsidRDefault="00625D26">
      <w:pPr>
        <w:pStyle w:val="Corpodetexto"/>
        <w:rPr>
          <w:b/>
          <w:sz w:val="36"/>
        </w:rPr>
      </w:pPr>
    </w:p>
    <w:p w14:paraId="2EF2AA24" w14:textId="22C7BC0B" w:rsidR="00625D26" w:rsidRDefault="00625D26">
      <w:pPr>
        <w:pStyle w:val="Corpodetexto"/>
        <w:rPr>
          <w:b/>
          <w:sz w:val="36"/>
        </w:rPr>
      </w:pPr>
    </w:p>
    <w:p w14:paraId="2E75FD06" w14:textId="77777777" w:rsidR="00625D26" w:rsidRDefault="00625D26">
      <w:pPr>
        <w:pStyle w:val="Corpodetexto"/>
        <w:rPr>
          <w:b/>
          <w:sz w:val="36"/>
        </w:rPr>
      </w:pPr>
    </w:p>
    <w:p w14:paraId="7F788FC4" w14:textId="77777777" w:rsidR="00625D26" w:rsidRDefault="00625D26">
      <w:pPr>
        <w:pStyle w:val="Corpodetexto"/>
        <w:rPr>
          <w:b/>
          <w:sz w:val="36"/>
        </w:rPr>
      </w:pPr>
    </w:p>
    <w:p w14:paraId="4F304212" w14:textId="43FF9439" w:rsidR="00625D26" w:rsidRDefault="00625D26">
      <w:pPr>
        <w:pStyle w:val="Corpodetexto"/>
        <w:rPr>
          <w:b/>
          <w:sz w:val="36"/>
        </w:rPr>
      </w:pPr>
    </w:p>
    <w:p w14:paraId="09638DBA" w14:textId="39F44DED" w:rsidR="00625D26" w:rsidRDefault="00C072D3">
      <w:pPr>
        <w:pStyle w:val="Corpodetexto"/>
        <w:rPr>
          <w:b/>
          <w:sz w:val="36"/>
        </w:rPr>
      </w:pPr>
      <w:r>
        <w:rPr>
          <w:b/>
          <w:sz w:val="36"/>
        </w:rPr>
        <w:tab/>
      </w:r>
    </w:p>
    <w:p w14:paraId="4B40BC3C" w14:textId="3EE618A9" w:rsidR="00625D26" w:rsidRDefault="003F09A1">
      <w:pPr>
        <w:pStyle w:val="Corpodetexto"/>
        <w:rPr>
          <w:b/>
          <w:sz w:val="36"/>
        </w:rPr>
      </w:pPr>
      <w:r w:rsidRPr="002B2CEA">
        <w:rPr>
          <w:rFonts w:cs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ADDB00B" wp14:editId="7736CFB9">
            <wp:simplePos x="0" y="0"/>
            <wp:positionH relativeFrom="column">
              <wp:posOffset>314960</wp:posOffset>
            </wp:positionH>
            <wp:positionV relativeFrom="paragraph">
              <wp:posOffset>143510</wp:posOffset>
            </wp:positionV>
            <wp:extent cx="4867200" cy="1731600"/>
            <wp:effectExtent l="0" t="0" r="0" b="0"/>
            <wp:wrapNone/>
            <wp:docPr id="1" name="Imagem 1" descr="Descrição: Uma imagem contendo 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Uma imagem contendo Logotipo&#10;&#10;Descrição gerad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17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23553" w14:textId="77777777" w:rsidR="00625D26" w:rsidRDefault="00625D26">
      <w:pPr>
        <w:pStyle w:val="Corpodetexto"/>
        <w:rPr>
          <w:b/>
          <w:sz w:val="36"/>
        </w:rPr>
      </w:pPr>
    </w:p>
    <w:p w14:paraId="5744575D" w14:textId="77777777" w:rsidR="00625D26" w:rsidRDefault="00625D26">
      <w:pPr>
        <w:pStyle w:val="Corpodetexto"/>
        <w:rPr>
          <w:b/>
          <w:sz w:val="36"/>
        </w:rPr>
      </w:pPr>
    </w:p>
    <w:p w14:paraId="73D87D0C" w14:textId="77777777" w:rsidR="00625D26" w:rsidRDefault="00625D26">
      <w:pPr>
        <w:pStyle w:val="Corpodetexto"/>
        <w:rPr>
          <w:b/>
          <w:sz w:val="36"/>
        </w:rPr>
      </w:pPr>
    </w:p>
    <w:p w14:paraId="534235A3" w14:textId="77777777" w:rsidR="00625D26" w:rsidRDefault="00625D26">
      <w:pPr>
        <w:pStyle w:val="Corpodetexto"/>
        <w:rPr>
          <w:b/>
          <w:sz w:val="36"/>
        </w:rPr>
      </w:pPr>
    </w:p>
    <w:p w14:paraId="2E1086DB" w14:textId="77777777" w:rsidR="00625D26" w:rsidRDefault="00625D26">
      <w:pPr>
        <w:pStyle w:val="Corpodetexto"/>
        <w:rPr>
          <w:b/>
          <w:sz w:val="36"/>
        </w:rPr>
      </w:pPr>
    </w:p>
    <w:p w14:paraId="4B1254D4" w14:textId="77777777" w:rsidR="00625D26" w:rsidRDefault="00625D26">
      <w:pPr>
        <w:pStyle w:val="Corpodetexto"/>
        <w:spacing w:before="370"/>
        <w:rPr>
          <w:b/>
          <w:sz w:val="36"/>
        </w:rPr>
      </w:pPr>
    </w:p>
    <w:p w14:paraId="3D8FD0A1" w14:textId="77777777" w:rsidR="00625D26" w:rsidRDefault="00625D26">
      <w:pPr>
        <w:pStyle w:val="Corpodetexto"/>
        <w:sectPr w:rsidR="00625D26">
          <w:headerReference w:type="default" r:id="rId8"/>
          <w:type w:val="continuous"/>
          <w:pgSz w:w="11910" w:h="16840"/>
          <w:pgMar w:top="1920" w:right="1417" w:bottom="280" w:left="1559" w:header="720" w:footer="720" w:gutter="0"/>
          <w:cols w:space="720"/>
        </w:sectPr>
      </w:pPr>
    </w:p>
    <w:p w14:paraId="29F11C51" w14:textId="77777777" w:rsidR="00F8110C" w:rsidRDefault="00F8110C" w:rsidP="00702F5B">
      <w:pPr>
        <w:pStyle w:val="Ttulo1"/>
        <w:spacing w:before="64"/>
        <w:ind w:left="0" w:right="140"/>
        <w:jc w:val="left"/>
        <w:rPr>
          <w:spacing w:val="-2"/>
        </w:rPr>
      </w:pPr>
    </w:p>
    <w:p w14:paraId="51438E39" w14:textId="6688D21A" w:rsidR="00625D26" w:rsidRDefault="00000000">
      <w:pPr>
        <w:pStyle w:val="Ttulo1"/>
        <w:spacing w:before="64"/>
        <w:ind w:right="140"/>
      </w:pPr>
      <w:r>
        <w:rPr>
          <w:spacing w:val="-2"/>
        </w:rPr>
        <w:t>Apresentação</w:t>
      </w:r>
    </w:p>
    <w:p w14:paraId="1366A9FD" w14:textId="6D3B7C4A" w:rsidR="00702F5B" w:rsidRPr="003F09A1" w:rsidRDefault="00C072D3" w:rsidP="003F09A1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C072D3">
        <w:rPr>
          <w:sz w:val="24"/>
          <w:szCs w:val="24"/>
        </w:rPr>
        <w:t xml:space="preserve">O presente Relatório de Atividades e Gestão do exercício de 2025 consolida os principais resultados institucionais nas áreas finalísticas (legislativa e </w:t>
      </w:r>
      <w:proofErr w:type="spellStart"/>
      <w:r>
        <w:rPr>
          <w:sz w:val="24"/>
          <w:szCs w:val="24"/>
        </w:rPr>
        <w:t>f</w:t>
      </w:r>
      <w:r w:rsidRPr="00C072D3">
        <w:rPr>
          <w:sz w:val="24"/>
          <w:szCs w:val="24"/>
        </w:rPr>
        <w:t>iscalizatória</w:t>
      </w:r>
      <w:proofErr w:type="spellEnd"/>
      <w:r w:rsidRPr="00C072D3">
        <w:rPr>
          <w:sz w:val="24"/>
          <w:szCs w:val="24"/>
        </w:rPr>
        <w:t>) e administrativas, em conformidade com o Plano Estratégico 2024–2027, assegurando transparência ativa e divulgação de desempenho por eixos estratégicos.</w:t>
      </w:r>
    </w:p>
    <w:p w14:paraId="3FF5AF24" w14:textId="77777777" w:rsidR="00625D26" w:rsidRPr="003F09A1" w:rsidRDefault="00625D26" w:rsidP="003F09A1">
      <w:pPr>
        <w:pStyle w:val="Corpodetexto"/>
        <w:spacing w:before="87"/>
        <w:ind w:firstLine="1985"/>
        <w:jc w:val="both"/>
        <w:rPr>
          <w:sz w:val="24"/>
          <w:szCs w:val="24"/>
        </w:rPr>
      </w:pPr>
    </w:p>
    <w:p w14:paraId="4211BF04" w14:textId="77777777" w:rsidR="003F09A1" w:rsidRDefault="003F09A1">
      <w:pPr>
        <w:pStyle w:val="Ttulo1"/>
      </w:pPr>
    </w:p>
    <w:p w14:paraId="6607EF0F" w14:textId="77777777" w:rsidR="003F09A1" w:rsidRDefault="003F09A1">
      <w:pPr>
        <w:pStyle w:val="Ttulo1"/>
      </w:pPr>
    </w:p>
    <w:p w14:paraId="77F74D88" w14:textId="77777777" w:rsidR="003F09A1" w:rsidRDefault="003F09A1">
      <w:pPr>
        <w:pStyle w:val="Ttulo1"/>
      </w:pPr>
    </w:p>
    <w:p w14:paraId="21EB6D37" w14:textId="77777777" w:rsidR="003F09A1" w:rsidRDefault="003F09A1">
      <w:pPr>
        <w:pStyle w:val="Ttulo1"/>
      </w:pPr>
    </w:p>
    <w:p w14:paraId="548BFCC0" w14:textId="77777777" w:rsidR="003F09A1" w:rsidRDefault="003F09A1">
      <w:pPr>
        <w:pStyle w:val="Ttulo1"/>
      </w:pPr>
    </w:p>
    <w:p w14:paraId="65277928" w14:textId="77777777" w:rsidR="003F09A1" w:rsidRDefault="003F09A1">
      <w:pPr>
        <w:pStyle w:val="Ttulo1"/>
      </w:pPr>
    </w:p>
    <w:p w14:paraId="16369197" w14:textId="77777777" w:rsidR="003F09A1" w:rsidRDefault="003F09A1">
      <w:pPr>
        <w:pStyle w:val="Ttulo1"/>
      </w:pPr>
    </w:p>
    <w:p w14:paraId="15FA19F8" w14:textId="77777777" w:rsidR="00250EE0" w:rsidRDefault="00250EE0">
      <w:pPr>
        <w:pStyle w:val="Ttulo1"/>
      </w:pPr>
    </w:p>
    <w:p w14:paraId="70031B28" w14:textId="77777777" w:rsidR="00250EE0" w:rsidRDefault="00250EE0">
      <w:pPr>
        <w:pStyle w:val="Ttulo1"/>
      </w:pPr>
    </w:p>
    <w:p w14:paraId="1E93C852" w14:textId="77777777" w:rsidR="003F09A1" w:rsidRDefault="003F09A1">
      <w:pPr>
        <w:pStyle w:val="Ttulo1"/>
      </w:pPr>
    </w:p>
    <w:p w14:paraId="7F267F53" w14:textId="77777777" w:rsidR="003F09A1" w:rsidRDefault="003F09A1">
      <w:pPr>
        <w:pStyle w:val="Ttulo1"/>
      </w:pPr>
    </w:p>
    <w:p w14:paraId="3DE6255C" w14:textId="77777777" w:rsidR="003F09A1" w:rsidRDefault="003F09A1">
      <w:pPr>
        <w:pStyle w:val="Ttulo1"/>
      </w:pPr>
    </w:p>
    <w:p w14:paraId="028D7E77" w14:textId="77777777" w:rsidR="003F09A1" w:rsidRDefault="003F09A1">
      <w:pPr>
        <w:pStyle w:val="Ttulo1"/>
      </w:pPr>
    </w:p>
    <w:p w14:paraId="73C46780" w14:textId="77777777" w:rsidR="003F09A1" w:rsidRDefault="003F09A1">
      <w:pPr>
        <w:pStyle w:val="Ttulo1"/>
      </w:pPr>
    </w:p>
    <w:p w14:paraId="767C9722" w14:textId="77777777" w:rsidR="003F09A1" w:rsidRDefault="003F09A1">
      <w:pPr>
        <w:pStyle w:val="Ttulo1"/>
      </w:pPr>
    </w:p>
    <w:p w14:paraId="48EC2A4A" w14:textId="77777777" w:rsidR="003F09A1" w:rsidRDefault="003F09A1">
      <w:pPr>
        <w:pStyle w:val="Ttulo1"/>
      </w:pPr>
    </w:p>
    <w:p w14:paraId="72571B79" w14:textId="77777777" w:rsidR="003F09A1" w:rsidRDefault="003F09A1">
      <w:pPr>
        <w:pStyle w:val="Ttulo1"/>
      </w:pPr>
    </w:p>
    <w:p w14:paraId="042431AB" w14:textId="77777777" w:rsidR="003F09A1" w:rsidRDefault="003F09A1">
      <w:pPr>
        <w:pStyle w:val="Ttulo1"/>
      </w:pPr>
    </w:p>
    <w:p w14:paraId="37C2DD04" w14:textId="77777777" w:rsidR="00C072D3" w:rsidRDefault="00C072D3">
      <w:pPr>
        <w:pStyle w:val="Ttulo1"/>
      </w:pPr>
    </w:p>
    <w:p w14:paraId="767777F1" w14:textId="77777777" w:rsidR="00C072D3" w:rsidRDefault="00C072D3">
      <w:pPr>
        <w:pStyle w:val="Ttulo1"/>
      </w:pPr>
    </w:p>
    <w:p w14:paraId="4330B5BB" w14:textId="77777777" w:rsidR="00C072D3" w:rsidRDefault="00C072D3">
      <w:pPr>
        <w:pStyle w:val="Ttulo1"/>
      </w:pPr>
    </w:p>
    <w:p w14:paraId="493C5D49" w14:textId="77777777" w:rsidR="00C072D3" w:rsidRDefault="00C072D3">
      <w:pPr>
        <w:pStyle w:val="Ttulo1"/>
      </w:pPr>
    </w:p>
    <w:p w14:paraId="708C4DC9" w14:textId="77777777" w:rsidR="00C072D3" w:rsidRDefault="00C072D3">
      <w:pPr>
        <w:pStyle w:val="Ttulo1"/>
      </w:pPr>
    </w:p>
    <w:p w14:paraId="47102C3B" w14:textId="77777777" w:rsidR="00C072D3" w:rsidRDefault="00C072D3">
      <w:pPr>
        <w:pStyle w:val="Ttulo1"/>
      </w:pPr>
    </w:p>
    <w:p w14:paraId="3BB1F97D" w14:textId="77777777" w:rsidR="00C072D3" w:rsidRDefault="00C072D3">
      <w:pPr>
        <w:pStyle w:val="Ttulo1"/>
      </w:pPr>
    </w:p>
    <w:p w14:paraId="5C20AC11" w14:textId="3C5E39D4" w:rsidR="00702F5B" w:rsidRDefault="00702F5B" w:rsidP="00702F5B"/>
    <w:p w14:paraId="7F4877A7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57A8427B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4C0F0C37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049A2FBB" w14:textId="77777777" w:rsidR="00C072D3" w:rsidRDefault="00C072D3" w:rsidP="00C072D3">
      <w:pPr>
        <w:pStyle w:val="Ttulo2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C072D3">
        <w:rPr>
          <w:rFonts w:ascii="Arial" w:eastAsia="Arial" w:hAnsi="Arial" w:cs="Arial"/>
          <w:b/>
          <w:bCs/>
          <w:color w:val="auto"/>
          <w:spacing w:val="-2"/>
          <w:sz w:val="36"/>
          <w:szCs w:val="36"/>
        </w:rPr>
        <w:t>Resultados por Eixo Estratégico (Percentual de</w:t>
      </w:r>
      <w:r w:rsidRPr="00C072D3">
        <w:rPr>
          <w:rFonts w:ascii="Arial" w:hAnsi="Arial" w:cs="Arial"/>
          <w:b/>
          <w:bCs/>
          <w:color w:val="auto"/>
          <w:sz w:val="36"/>
          <w:szCs w:val="36"/>
        </w:rPr>
        <w:t xml:space="preserve"> Cumprimento das Metas)</w:t>
      </w:r>
    </w:p>
    <w:p w14:paraId="4F9F53CF" w14:textId="77777777" w:rsidR="00C072D3" w:rsidRPr="00C072D3" w:rsidRDefault="00C072D3" w:rsidP="00C072D3"/>
    <w:p w14:paraId="2A25CF2F" w14:textId="77777777" w:rsidR="00C072D3" w:rsidRPr="00C072D3" w:rsidRDefault="00C072D3" w:rsidP="00C072D3">
      <w:pPr>
        <w:pStyle w:val="Ttulo3"/>
        <w:jc w:val="both"/>
        <w:rPr>
          <w:rFonts w:ascii="Arial" w:hAnsi="Arial" w:cs="Arial"/>
          <w:color w:val="auto"/>
        </w:rPr>
      </w:pPr>
      <w:r w:rsidRPr="00C072D3">
        <w:rPr>
          <w:rFonts w:ascii="Arial" w:hAnsi="Arial" w:cs="Arial"/>
          <w:color w:val="auto"/>
        </w:rPr>
        <w:t>EIXO 1 – Atuação Legislativa e Fiscalizadora</w:t>
      </w:r>
    </w:p>
    <w:p w14:paraId="078A0509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Metas 2025:</w:t>
      </w:r>
    </w:p>
    <w:p w14:paraId="54EFDE45" w14:textId="77777777" w:rsidR="00C072D3" w:rsidRPr="00C072D3" w:rsidRDefault="00C072D3" w:rsidP="00C072D3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Produção legislativa</w:t>
      </w:r>
    </w:p>
    <w:p w14:paraId="112ED928" w14:textId="77777777" w:rsidR="00C072D3" w:rsidRPr="00C072D3" w:rsidRDefault="00C072D3" w:rsidP="00C072D3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Realização de audiências públicas</w:t>
      </w:r>
    </w:p>
    <w:p w14:paraId="4D4D9013" w14:textId="77777777" w:rsidR="00C072D3" w:rsidRPr="00C072D3" w:rsidRDefault="00C072D3" w:rsidP="00C072D3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Análise integral dos relatórios fiscais</w:t>
      </w:r>
    </w:p>
    <w:p w14:paraId="339CF9C0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Resultados consolidados:</w:t>
      </w:r>
    </w:p>
    <w:p w14:paraId="28261437" w14:textId="77777777" w:rsidR="00C072D3" w:rsidRPr="00C072D3" w:rsidRDefault="00C072D3" w:rsidP="00C072D3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106,7%</w:t>
      </w:r>
      <w:r w:rsidRPr="00C072D3">
        <w:rPr>
          <w:rFonts w:ascii="Arial" w:hAnsi="Arial" w:cs="Arial"/>
        </w:rPr>
        <w:t xml:space="preserve"> de cumprimento da meta de projetos de lei (superação da meta anual prevista).</w:t>
      </w:r>
    </w:p>
    <w:p w14:paraId="57E2572C" w14:textId="77777777" w:rsidR="00C072D3" w:rsidRPr="00C072D3" w:rsidRDefault="00C072D3" w:rsidP="00C072D3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116,6%</w:t>
      </w:r>
      <w:r w:rsidRPr="00C072D3">
        <w:rPr>
          <w:rFonts w:ascii="Arial" w:hAnsi="Arial" w:cs="Arial"/>
        </w:rPr>
        <w:t xml:space="preserve"> de cumprimento da meta de audiências públicas.</w:t>
      </w:r>
    </w:p>
    <w:p w14:paraId="213720FB" w14:textId="77777777" w:rsidR="00C072D3" w:rsidRPr="00C072D3" w:rsidRDefault="00C072D3" w:rsidP="00C072D3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análise dos relatórios quadrimestrais exigidos pela legislação fiscal.</w:t>
      </w:r>
    </w:p>
    <w:p w14:paraId="5AF90989" w14:textId="77777777" w:rsidR="00C072D3" w:rsidRPr="00C072D3" w:rsidRDefault="00C072D3" w:rsidP="00C072D3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 xml:space="preserve">Ampliação de aproximadamente </w:t>
      </w:r>
      <w:r w:rsidRPr="00C072D3">
        <w:rPr>
          <w:rStyle w:val="Forte"/>
          <w:rFonts w:ascii="Arial" w:hAnsi="Arial" w:cs="Arial"/>
        </w:rPr>
        <w:t>12%</w:t>
      </w:r>
      <w:r w:rsidRPr="00C072D3">
        <w:rPr>
          <w:rFonts w:ascii="Arial" w:hAnsi="Arial" w:cs="Arial"/>
        </w:rPr>
        <w:t xml:space="preserve"> na atividade parlamentar geral (requerimentos e indicações) em relação a 2024.</w:t>
      </w:r>
    </w:p>
    <w:p w14:paraId="6B5E9A43" w14:textId="104EEA19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Avaliação:</w:t>
      </w:r>
      <w:r w:rsidRPr="00C072D3">
        <w:rPr>
          <w:rFonts w:ascii="Arial" w:hAnsi="Arial" w:cs="Arial"/>
        </w:rPr>
        <w:t xml:space="preserve"> Meta global do eixo superada, com desempenho acima do previsto.</w:t>
      </w:r>
    </w:p>
    <w:p w14:paraId="2750FA39" w14:textId="77777777" w:rsidR="00C072D3" w:rsidRPr="00C072D3" w:rsidRDefault="00C072D3" w:rsidP="00C072D3">
      <w:pPr>
        <w:pStyle w:val="Ttulo3"/>
        <w:jc w:val="both"/>
        <w:rPr>
          <w:rFonts w:ascii="Arial" w:hAnsi="Arial" w:cs="Arial"/>
          <w:color w:val="auto"/>
        </w:rPr>
      </w:pPr>
      <w:r w:rsidRPr="00C072D3">
        <w:rPr>
          <w:rFonts w:ascii="Arial" w:hAnsi="Arial" w:cs="Arial"/>
          <w:color w:val="auto"/>
        </w:rPr>
        <w:t>EIXO 2 – Gestão Administrativa e Financeira</w:t>
      </w:r>
    </w:p>
    <w:p w14:paraId="689C162D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Metas 2025:</w:t>
      </w:r>
    </w:p>
    <w:p w14:paraId="470BA266" w14:textId="77777777" w:rsidR="00C072D3" w:rsidRPr="00C072D3" w:rsidRDefault="00C072D3" w:rsidP="00C072D3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92% de execução orçamentária</w:t>
      </w:r>
    </w:p>
    <w:p w14:paraId="24620C08" w14:textId="77777777" w:rsidR="00C072D3" w:rsidRPr="00C072D3" w:rsidRDefault="00C072D3" w:rsidP="00C072D3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100% de atualização do Portal</w:t>
      </w:r>
    </w:p>
    <w:p w14:paraId="607454BD" w14:textId="77777777" w:rsidR="00C072D3" w:rsidRPr="00C072D3" w:rsidRDefault="00C072D3" w:rsidP="00C072D3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Redução anual de custos administrativos</w:t>
      </w:r>
    </w:p>
    <w:p w14:paraId="69E3BB96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Resultados consolidados:</w:t>
      </w:r>
    </w:p>
    <w:p w14:paraId="60A05D08" w14:textId="77777777" w:rsidR="00C072D3" w:rsidRPr="00C072D3" w:rsidRDefault="00C072D3" w:rsidP="00C072D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101,5%</w:t>
      </w:r>
      <w:r w:rsidRPr="00C072D3">
        <w:rPr>
          <w:rFonts w:ascii="Arial" w:hAnsi="Arial" w:cs="Arial"/>
        </w:rPr>
        <w:t xml:space="preserve"> de cumprimento da meta de execução orçamentária (resultado superior ao índice previsto).</w:t>
      </w:r>
    </w:p>
    <w:p w14:paraId="031DD932" w14:textId="77777777" w:rsidR="00C072D3" w:rsidRPr="00C072D3" w:rsidRDefault="00C072D3" w:rsidP="00C072D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atualização mensal do Portal da Transparência.</w:t>
      </w:r>
    </w:p>
    <w:p w14:paraId="2B220C1C" w14:textId="77777777" w:rsidR="00C072D3" w:rsidRPr="00C072D3" w:rsidRDefault="00C072D3" w:rsidP="00C072D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96%</w:t>
      </w:r>
      <w:r w:rsidRPr="00C072D3">
        <w:rPr>
          <w:rFonts w:ascii="Arial" w:hAnsi="Arial" w:cs="Arial"/>
        </w:rPr>
        <w:t xml:space="preserve"> de atingimento da meta de redução de custos administrativos.</w:t>
      </w:r>
    </w:p>
    <w:p w14:paraId="543769D0" w14:textId="77777777" w:rsidR="00C072D3" w:rsidRPr="00C072D3" w:rsidRDefault="00C072D3" w:rsidP="00C072D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cumprimento dos limites constitucionais e da Lei de Responsabilidade Fiscal.</w:t>
      </w:r>
    </w:p>
    <w:p w14:paraId="6CE320A9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Avaliação:</w:t>
      </w:r>
      <w:r w:rsidRPr="00C072D3">
        <w:rPr>
          <w:rFonts w:ascii="Arial" w:hAnsi="Arial" w:cs="Arial"/>
        </w:rPr>
        <w:t xml:space="preserve"> Gestão fiscal equilibrada e dentro dos parâmetros legais.</w:t>
      </w:r>
    </w:p>
    <w:p w14:paraId="6068D3E7" w14:textId="29DA4D43" w:rsidR="00C072D3" w:rsidRDefault="00C072D3" w:rsidP="00C072D3">
      <w:pPr>
        <w:jc w:val="both"/>
        <w:rPr>
          <w:sz w:val="24"/>
          <w:szCs w:val="24"/>
        </w:rPr>
      </w:pPr>
    </w:p>
    <w:p w14:paraId="4FA1E03B" w14:textId="77777777" w:rsidR="00C072D3" w:rsidRPr="00C072D3" w:rsidRDefault="00C072D3" w:rsidP="00C072D3">
      <w:pPr>
        <w:jc w:val="both"/>
        <w:rPr>
          <w:sz w:val="24"/>
          <w:szCs w:val="24"/>
        </w:rPr>
      </w:pPr>
    </w:p>
    <w:p w14:paraId="30961CF6" w14:textId="77777777" w:rsidR="00C072D3" w:rsidRPr="00C072D3" w:rsidRDefault="00C072D3" w:rsidP="00C072D3">
      <w:pPr>
        <w:pStyle w:val="Ttulo3"/>
        <w:jc w:val="both"/>
        <w:rPr>
          <w:rFonts w:ascii="Arial" w:hAnsi="Arial" w:cs="Arial"/>
          <w:color w:val="auto"/>
        </w:rPr>
      </w:pPr>
      <w:r w:rsidRPr="00C072D3">
        <w:rPr>
          <w:rFonts w:ascii="Arial" w:hAnsi="Arial" w:cs="Arial"/>
          <w:color w:val="auto"/>
        </w:rPr>
        <w:lastRenderedPageBreak/>
        <w:t>EIXO 3 – Desenvolvimento de Pessoas</w:t>
      </w:r>
    </w:p>
    <w:p w14:paraId="09E1CD41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Meta 2025:</w:t>
      </w:r>
      <w:r w:rsidRPr="00C072D3">
        <w:rPr>
          <w:rFonts w:ascii="Arial" w:hAnsi="Arial" w:cs="Arial"/>
        </w:rPr>
        <w:t xml:space="preserve"> Capacitação anual de servidores.</w:t>
      </w:r>
    </w:p>
    <w:p w14:paraId="368BFFD2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Resultados consolidados:</w:t>
      </w:r>
    </w:p>
    <w:p w14:paraId="33E1E086" w14:textId="77777777" w:rsidR="00C072D3" w:rsidRPr="00C072D3" w:rsidRDefault="00C072D3" w:rsidP="00C072D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110%</w:t>
      </w:r>
      <w:r w:rsidRPr="00C072D3">
        <w:rPr>
          <w:rFonts w:ascii="Arial" w:hAnsi="Arial" w:cs="Arial"/>
        </w:rPr>
        <w:t xml:space="preserve"> de cumprimento da meta de capacitação.</w:t>
      </w:r>
    </w:p>
    <w:p w14:paraId="7B6F4839" w14:textId="77777777" w:rsidR="00C072D3" w:rsidRPr="00C072D3" w:rsidRDefault="00C072D3" w:rsidP="00C072D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75%</w:t>
      </w:r>
      <w:r w:rsidRPr="00C072D3">
        <w:rPr>
          <w:rFonts w:ascii="Arial" w:hAnsi="Arial" w:cs="Arial"/>
        </w:rPr>
        <w:t xml:space="preserve"> de implementação do sistema de avaliação de desempenho (em fase final).</w:t>
      </w:r>
    </w:p>
    <w:p w14:paraId="7732A0D9" w14:textId="77777777" w:rsidR="00C072D3" w:rsidRPr="00C072D3" w:rsidRDefault="00C072D3" w:rsidP="00C072D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 xml:space="preserve">Ampliação de aproximadamente </w:t>
      </w:r>
      <w:r w:rsidRPr="00C072D3">
        <w:rPr>
          <w:rStyle w:val="Forte"/>
          <w:rFonts w:ascii="Arial" w:hAnsi="Arial" w:cs="Arial"/>
        </w:rPr>
        <w:t>18%</w:t>
      </w:r>
      <w:r w:rsidRPr="00C072D3">
        <w:rPr>
          <w:rFonts w:ascii="Arial" w:hAnsi="Arial" w:cs="Arial"/>
        </w:rPr>
        <w:t xml:space="preserve"> nas ações internas de qualificação técnica.</w:t>
      </w:r>
    </w:p>
    <w:p w14:paraId="13465B3E" w14:textId="1572B9D0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Avaliação:</w:t>
      </w:r>
      <w:r w:rsidRPr="00C072D3">
        <w:rPr>
          <w:rFonts w:ascii="Arial" w:hAnsi="Arial" w:cs="Arial"/>
        </w:rPr>
        <w:t xml:space="preserve"> Meta superada com fortalecimento da qualificação institucional.</w:t>
      </w:r>
    </w:p>
    <w:p w14:paraId="0D27213C" w14:textId="77777777" w:rsidR="00C072D3" w:rsidRPr="00C072D3" w:rsidRDefault="00C072D3" w:rsidP="00C072D3">
      <w:pPr>
        <w:pStyle w:val="Ttulo3"/>
        <w:jc w:val="both"/>
        <w:rPr>
          <w:rFonts w:ascii="Arial" w:hAnsi="Arial" w:cs="Arial"/>
          <w:color w:val="auto"/>
        </w:rPr>
      </w:pPr>
      <w:r w:rsidRPr="00C072D3">
        <w:rPr>
          <w:rFonts w:ascii="Arial" w:hAnsi="Arial" w:cs="Arial"/>
          <w:color w:val="auto"/>
        </w:rPr>
        <w:t>EIXO 4 – Comunicação e Transparência</w:t>
      </w:r>
    </w:p>
    <w:p w14:paraId="3132A7C1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Metas 2025:</w:t>
      </w:r>
    </w:p>
    <w:p w14:paraId="7F5A7059" w14:textId="77777777" w:rsidR="00C072D3" w:rsidRPr="00C072D3" w:rsidRDefault="00C072D3" w:rsidP="00C072D3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Crescimento anual de 25% no alcance digital</w:t>
      </w:r>
    </w:p>
    <w:p w14:paraId="4B951359" w14:textId="77777777" w:rsidR="00C072D3" w:rsidRPr="00C072D3" w:rsidRDefault="00C072D3" w:rsidP="00C072D3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Realização de consultas públicas</w:t>
      </w:r>
    </w:p>
    <w:p w14:paraId="31141154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Resultados consolidados:</w:t>
      </w:r>
    </w:p>
    <w:p w14:paraId="69E98EBE" w14:textId="77777777" w:rsidR="00C072D3" w:rsidRPr="00C072D3" w:rsidRDefault="00C072D3" w:rsidP="00C072D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112%</w:t>
      </w:r>
      <w:r w:rsidRPr="00C072D3">
        <w:rPr>
          <w:rFonts w:ascii="Arial" w:hAnsi="Arial" w:cs="Arial"/>
        </w:rPr>
        <w:t xml:space="preserve"> de cumprimento da meta de crescimento de acessos ao portal institucional.</w:t>
      </w:r>
    </w:p>
    <w:p w14:paraId="4015F6F3" w14:textId="77777777" w:rsidR="00C072D3" w:rsidRPr="00C072D3" w:rsidRDefault="00C072D3" w:rsidP="00C072D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cumprimento da meta de consultas públicas.</w:t>
      </w:r>
    </w:p>
    <w:p w14:paraId="25AF9FA5" w14:textId="77777777" w:rsidR="00C072D3" w:rsidRPr="00C072D3" w:rsidRDefault="00C072D3" w:rsidP="00C072D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das sessões legislativas transmitidas ao vivo.</w:t>
      </w:r>
    </w:p>
    <w:p w14:paraId="5D8C4ED6" w14:textId="77777777" w:rsidR="00C072D3" w:rsidRPr="00C072D3" w:rsidRDefault="00C072D3" w:rsidP="00C072D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atualização das seções obrigatórias de receitas, despesas e contratos.</w:t>
      </w:r>
    </w:p>
    <w:p w14:paraId="63267F7E" w14:textId="0EFFA6F4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Avaliação:</w:t>
      </w:r>
      <w:r w:rsidRPr="00C072D3">
        <w:rPr>
          <w:rFonts w:ascii="Arial" w:hAnsi="Arial" w:cs="Arial"/>
        </w:rPr>
        <w:t xml:space="preserve"> Ampliação efetiva da transparência e participação cidadã.</w:t>
      </w:r>
    </w:p>
    <w:p w14:paraId="56F5F803" w14:textId="77777777" w:rsidR="00C072D3" w:rsidRPr="00C072D3" w:rsidRDefault="00C072D3" w:rsidP="00C072D3">
      <w:pPr>
        <w:pStyle w:val="Ttulo3"/>
        <w:jc w:val="both"/>
        <w:rPr>
          <w:rFonts w:ascii="Arial" w:hAnsi="Arial" w:cs="Arial"/>
          <w:color w:val="auto"/>
        </w:rPr>
      </w:pPr>
      <w:r w:rsidRPr="00C072D3">
        <w:rPr>
          <w:rFonts w:ascii="Arial" w:hAnsi="Arial" w:cs="Arial"/>
          <w:color w:val="auto"/>
        </w:rPr>
        <w:t>EIXO 5 – Inovação e Tecnologia</w:t>
      </w:r>
    </w:p>
    <w:p w14:paraId="353872DE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Metas 2025:</w:t>
      </w:r>
    </w:p>
    <w:p w14:paraId="519B7814" w14:textId="77777777" w:rsidR="00C072D3" w:rsidRPr="00C072D3" w:rsidRDefault="00C072D3" w:rsidP="00C072D3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Implantação do sistema de gestão legislativa</w:t>
      </w:r>
    </w:p>
    <w:p w14:paraId="545A7167" w14:textId="77777777" w:rsidR="00C072D3" w:rsidRPr="00C072D3" w:rsidRDefault="00C072D3" w:rsidP="00C072D3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>Digitalização de 80% dos processos</w:t>
      </w:r>
    </w:p>
    <w:p w14:paraId="2CBD69F7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Resultados consolidados:</w:t>
      </w:r>
    </w:p>
    <w:p w14:paraId="7996F1A2" w14:textId="77777777" w:rsidR="00C072D3" w:rsidRPr="00C072D3" w:rsidRDefault="00C072D3" w:rsidP="00C072D3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implantação do sistema de gestão legislativa.</w:t>
      </w:r>
    </w:p>
    <w:p w14:paraId="2EC0C9F1" w14:textId="77777777" w:rsidR="00C072D3" w:rsidRPr="00C072D3" w:rsidRDefault="00C072D3" w:rsidP="00C072D3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102,5%</w:t>
      </w:r>
      <w:r w:rsidRPr="00C072D3">
        <w:rPr>
          <w:rFonts w:ascii="Arial" w:hAnsi="Arial" w:cs="Arial"/>
        </w:rPr>
        <w:t xml:space="preserve"> de cumprimento da meta de digitalização processual.</w:t>
      </w:r>
    </w:p>
    <w:p w14:paraId="350FE038" w14:textId="77777777" w:rsidR="00C072D3" w:rsidRPr="00C072D3" w:rsidRDefault="00C072D3" w:rsidP="00C072D3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100%</w:t>
      </w:r>
      <w:r w:rsidRPr="00C072D3">
        <w:rPr>
          <w:rFonts w:ascii="Arial" w:hAnsi="Arial" w:cs="Arial"/>
        </w:rPr>
        <w:t xml:space="preserve"> de ausência de incidentes relevantes de segurança da informação.</w:t>
      </w:r>
    </w:p>
    <w:p w14:paraId="3D198AA1" w14:textId="77777777" w:rsidR="00C072D3" w:rsidRDefault="00C072D3" w:rsidP="00C072D3">
      <w:pPr>
        <w:pStyle w:val="NormalWeb"/>
        <w:jc w:val="both"/>
        <w:rPr>
          <w:rFonts w:ascii="Arial" w:hAnsi="Arial" w:cs="Arial"/>
        </w:rPr>
      </w:pPr>
      <w:r w:rsidRPr="00C072D3">
        <w:rPr>
          <w:rStyle w:val="Forte"/>
          <w:rFonts w:ascii="Arial" w:hAnsi="Arial" w:cs="Arial"/>
        </w:rPr>
        <w:t>Avaliação:</w:t>
      </w:r>
      <w:r w:rsidRPr="00C072D3">
        <w:rPr>
          <w:rFonts w:ascii="Arial" w:hAnsi="Arial" w:cs="Arial"/>
        </w:rPr>
        <w:t xml:space="preserve"> Modernização administrativa consolidada e metas plenamente atingidas.</w:t>
      </w:r>
    </w:p>
    <w:p w14:paraId="03B20D53" w14:textId="77777777" w:rsidR="00C072D3" w:rsidRPr="00C072D3" w:rsidRDefault="00C072D3" w:rsidP="00C072D3">
      <w:pPr>
        <w:pStyle w:val="NormalWeb"/>
        <w:jc w:val="both"/>
        <w:rPr>
          <w:rFonts w:ascii="Arial" w:hAnsi="Arial" w:cs="Arial"/>
        </w:rPr>
      </w:pPr>
    </w:p>
    <w:p w14:paraId="17E80481" w14:textId="00B494AB" w:rsidR="00C072D3" w:rsidRDefault="00C072D3" w:rsidP="00C072D3">
      <w:pPr>
        <w:jc w:val="both"/>
        <w:rPr>
          <w:sz w:val="24"/>
          <w:szCs w:val="24"/>
        </w:rPr>
      </w:pPr>
    </w:p>
    <w:p w14:paraId="73377CB6" w14:textId="77777777" w:rsidR="00C072D3" w:rsidRPr="00C072D3" w:rsidRDefault="00C072D3" w:rsidP="00C072D3">
      <w:pPr>
        <w:jc w:val="both"/>
        <w:rPr>
          <w:sz w:val="24"/>
          <w:szCs w:val="24"/>
        </w:rPr>
      </w:pPr>
    </w:p>
    <w:p w14:paraId="3B017D50" w14:textId="60F3C10B" w:rsidR="00C072D3" w:rsidRPr="00C072D3" w:rsidRDefault="00C072D3" w:rsidP="00C072D3">
      <w:pPr>
        <w:pStyle w:val="Ttulo1"/>
        <w:spacing w:before="64"/>
        <w:ind w:right="140"/>
        <w:jc w:val="left"/>
        <w:rPr>
          <w:spacing w:val="-2"/>
        </w:rPr>
      </w:pPr>
      <w:r w:rsidRPr="00C072D3">
        <w:rPr>
          <w:spacing w:val="-2"/>
        </w:rPr>
        <w:lastRenderedPageBreak/>
        <w:t>Indicadores Globais de Desempenho 2025</w:t>
      </w:r>
    </w:p>
    <w:p w14:paraId="43314599" w14:textId="77777777" w:rsidR="00C072D3" w:rsidRPr="00C072D3" w:rsidRDefault="00C072D3" w:rsidP="00C072D3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 xml:space="preserve">Cumprimento médio geral das metas estratégicas: </w:t>
      </w:r>
      <w:r w:rsidRPr="00C072D3">
        <w:rPr>
          <w:rStyle w:val="Forte"/>
          <w:rFonts w:ascii="Arial" w:hAnsi="Arial" w:cs="Arial"/>
        </w:rPr>
        <w:t>aproximadamente 104%</w:t>
      </w:r>
    </w:p>
    <w:p w14:paraId="5447C8C3" w14:textId="77777777" w:rsidR="00C072D3" w:rsidRPr="00C072D3" w:rsidRDefault="00C072D3" w:rsidP="00C072D3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 xml:space="preserve">Índice de regularidade administrativa: </w:t>
      </w:r>
      <w:r w:rsidRPr="00C072D3">
        <w:rPr>
          <w:rStyle w:val="Forte"/>
          <w:rFonts w:ascii="Arial" w:hAnsi="Arial" w:cs="Arial"/>
        </w:rPr>
        <w:t>100%</w:t>
      </w:r>
    </w:p>
    <w:p w14:paraId="60EDB3EF" w14:textId="77777777" w:rsidR="00C072D3" w:rsidRPr="00C072D3" w:rsidRDefault="00C072D3" w:rsidP="00C072D3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 xml:space="preserve">Índice de transparência ativa: </w:t>
      </w:r>
      <w:r w:rsidRPr="00C072D3">
        <w:rPr>
          <w:rStyle w:val="Forte"/>
          <w:rFonts w:ascii="Arial" w:hAnsi="Arial" w:cs="Arial"/>
        </w:rPr>
        <w:t>100%</w:t>
      </w:r>
    </w:p>
    <w:p w14:paraId="1A1CC286" w14:textId="77777777" w:rsidR="00C072D3" w:rsidRPr="00C072D3" w:rsidRDefault="00C072D3" w:rsidP="00C072D3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C072D3">
        <w:rPr>
          <w:rFonts w:ascii="Arial" w:hAnsi="Arial" w:cs="Arial"/>
        </w:rPr>
        <w:t xml:space="preserve">Índice médio de eficiência estratégica: </w:t>
      </w:r>
      <w:r w:rsidRPr="00C072D3">
        <w:rPr>
          <w:rStyle w:val="Forte"/>
          <w:rFonts w:ascii="Arial" w:hAnsi="Arial" w:cs="Arial"/>
        </w:rPr>
        <w:t>acima de 100% das metas previstas</w:t>
      </w:r>
    </w:p>
    <w:p w14:paraId="5C5F5B54" w14:textId="60B5E132" w:rsidR="00C072D3" w:rsidRDefault="00C072D3" w:rsidP="00C072D3">
      <w:pPr>
        <w:jc w:val="both"/>
        <w:rPr>
          <w:sz w:val="24"/>
          <w:szCs w:val="24"/>
        </w:rPr>
      </w:pPr>
    </w:p>
    <w:p w14:paraId="1067DF9E" w14:textId="77777777" w:rsidR="00C072D3" w:rsidRDefault="00C072D3" w:rsidP="00C072D3">
      <w:pPr>
        <w:jc w:val="both"/>
        <w:rPr>
          <w:sz w:val="24"/>
          <w:szCs w:val="24"/>
        </w:rPr>
      </w:pPr>
    </w:p>
    <w:p w14:paraId="0675654A" w14:textId="77777777" w:rsidR="00C072D3" w:rsidRDefault="00C072D3" w:rsidP="00C072D3">
      <w:pPr>
        <w:jc w:val="both"/>
        <w:rPr>
          <w:sz w:val="24"/>
          <w:szCs w:val="24"/>
        </w:rPr>
      </w:pPr>
    </w:p>
    <w:p w14:paraId="11842099" w14:textId="77777777" w:rsidR="00C072D3" w:rsidRDefault="00C072D3" w:rsidP="00C072D3">
      <w:pPr>
        <w:jc w:val="both"/>
        <w:rPr>
          <w:sz w:val="24"/>
          <w:szCs w:val="24"/>
        </w:rPr>
      </w:pPr>
    </w:p>
    <w:p w14:paraId="712C011D" w14:textId="77777777" w:rsidR="00C072D3" w:rsidRDefault="00C072D3" w:rsidP="00C072D3">
      <w:pPr>
        <w:jc w:val="both"/>
        <w:rPr>
          <w:sz w:val="24"/>
          <w:szCs w:val="24"/>
        </w:rPr>
      </w:pPr>
    </w:p>
    <w:p w14:paraId="188B3F89" w14:textId="77777777" w:rsidR="00C072D3" w:rsidRDefault="00C072D3" w:rsidP="00C072D3">
      <w:pPr>
        <w:jc w:val="both"/>
        <w:rPr>
          <w:sz w:val="24"/>
          <w:szCs w:val="24"/>
        </w:rPr>
      </w:pPr>
    </w:p>
    <w:p w14:paraId="78019138" w14:textId="77777777" w:rsidR="00C072D3" w:rsidRDefault="00C072D3" w:rsidP="00C072D3">
      <w:pPr>
        <w:jc w:val="both"/>
        <w:rPr>
          <w:sz w:val="24"/>
          <w:szCs w:val="24"/>
        </w:rPr>
      </w:pPr>
    </w:p>
    <w:p w14:paraId="30180D3F" w14:textId="77777777" w:rsidR="00C072D3" w:rsidRDefault="00C072D3" w:rsidP="00C072D3">
      <w:pPr>
        <w:jc w:val="both"/>
        <w:rPr>
          <w:sz w:val="24"/>
          <w:szCs w:val="24"/>
        </w:rPr>
      </w:pPr>
    </w:p>
    <w:p w14:paraId="777C9677" w14:textId="77777777" w:rsidR="00C072D3" w:rsidRDefault="00C072D3" w:rsidP="00C072D3">
      <w:pPr>
        <w:jc w:val="both"/>
        <w:rPr>
          <w:sz w:val="24"/>
          <w:szCs w:val="24"/>
        </w:rPr>
      </w:pPr>
    </w:p>
    <w:p w14:paraId="3D5F2801" w14:textId="77777777" w:rsidR="00C072D3" w:rsidRDefault="00C072D3" w:rsidP="00C072D3">
      <w:pPr>
        <w:jc w:val="both"/>
        <w:rPr>
          <w:sz w:val="24"/>
          <w:szCs w:val="24"/>
        </w:rPr>
      </w:pPr>
    </w:p>
    <w:p w14:paraId="248AB5D9" w14:textId="77777777" w:rsidR="00C072D3" w:rsidRDefault="00C072D3" w:rsidP="00C072D3">
      <w:pPr>
        <w:jc w:val="both"/>
        <w:rPr>
          <w:sz w:val="24"/>
          <w:szCs w:val="24"/>
        </w:rPr>
      </w:pPr>
    </w:p>
    <w:p w14:paraId="57E5B4C3" w14:textId="77777777" w:rsidR="00C072D3" w:rsidRDefault="00C072D3" w:rsidP="00C072D3">
      <w:pPr>
        <w:jc w:val="both"/>
        <w:rPr>
          <w:sz w:val="24"/>
          <w:szCs w:val="24"/>
        </w:rPr>
      </w:pPr>
    </w:p>
    <w:p w14:paraId="1ED531D0" w14:textId="77777777" w:rsidR="00C072D3" w:rsidRDefault="00C072D3" w:rsidP="00C072D3">
      <w:pPr>
        <w:jc w:val="both"/>
        <w:rPr>
          <w:sz w:val="24"/>
          <w:szCs w:val="24"/>
        </w:rPr>
      </w:pPr>
    </w:p>
    <w:p w14:paraId="2B4ED7C4" w14:textId="77777777" w:rsidR="00C072D3" w:rsidRDefault="00C072D3" w:rsidP="00C072D3">
      <w:pPr>
        <w:jc w:val="both"/>
        <w:rPr>
          <w:sz w:val="24"/>
          <w:szCs w:val="24"/>
        </w:rPr>
      </w:pPr>
    </w:p>
    <w:p w14:paraId="59B41BBD" w14:textId="77777777" w:rsidR="00C072D3" w:rsidRDefault="00C072D3" w:rsidP="00C072D3">
      <w:pPr>
        <w:jc w:val="both"/>
        <w:rPr>
          <w:sz w:val="24"/>
          <w:szCs w:val="24"/>
        </w:rPr>
      </w:pPr>
    </w:p>
    <w:p w14:paraId="2492C588" w14:textId="77777777" w:rsidR="00C072D3" w:rsidRDefault="00C072D3" w:rsidP="00C072D3">
      <w:pPr>
        <w:jc w:val="both"/>
        <w:rPr>
          <w:sz w:val="24"/>
          <w:szCs w:val="24"/>
        </w:rPr>
      </w:pPr>
    </w:p>
    <w:p w14:paraId="6F230663" w14:textId="77777777" w:rsidR="00C072D3" w:rsidRDefault="00C072D3" w:rsidP="00C072D3">
      <w:pPr>
        <w:jc w:val="both"/>
        <w:rPr>
          <w:sz w:val="24"/>
          <w:szCs w:val="24"/>
        </w:rPr>
      </w:pPr>
    </w:p>
    <w:p w14:paraId="2E4EF274" w14:textId="77777777" w:rsidR="00C072D3" w:rsidRDefault="00C072D3" w:rsidP="00C072D3">
      <w:pPr>
        <w:jc w:val="both"/>
        <w:rPr>
          <w:sz w:val="24"/>
          <w:szCs w:val="24"/>
        </w:rPr>
      </w:pPr>
    </w:p>
    <w:p w14:paraId="25173A0A" w14:textId="77777777" w:rsidR="00C072D3" w:rsidRDefault="00C072D3" w:rsidP="00C072D3">
      <w:pPr>
        <w:jc w:val="both"/>
        <w:rPr>
          <w:sz w:val="24"/>
          <w:szCs w:val="24"/>
        </w:rPr>
      </w:pPr>
    </w:p>
    <w:p w14:paraId="16BD2AA1" w14:textId="77777777" w:rsidR="00C072D3" w:rsidRDefault="00C072D3" w:rsidP="00C072D3">
      <w:pPr>
        <w:jc w:val="both"/>
        <w:rPr>
          <w:sz w:val="24"/>
          <w:szCs w:val="24"/>
        </w:rPr>
      </w:pPr>
    </w:p>
    <w:p w14:paraId="4A4F352A" w14:textId="77777777" w:rsidR="00C072D3" w:rsidRDefault="00C072D3" w:rsidP="00C072D3">
      <w:pPr>
        <w:jc w:val="both"/>
        <w:rPr>
          <w:sz w:val="24"/>
          <w:szCs w:val="24"/>
        </w:rPr>
      </w:pPr>
    </w:p>
    <w:p w14:paraId="28080568" w14:textId="77777777" w:rsidR="00C072D3" w:rsidRDefault="00C072D3" w:rsidP="00C072D3">
      <w:pPr>
        <w:jc w:val="both"/>
        <w:rPr>
          <w:sz w:val="24"/>
          <w:szCs w:val="24"/>
        </w:rPr>
      </w:pPr>
    </w:p>
    <w:p w14:paraId="418E29D5" w14:textId="77777777" w:rsidR="00C072D3" w:rsidRDefault="00C072D3" w:rsidP="00C072D3">
      <w:pPr>
        <w:jc w:val="both"/>
        <w:rPr>
          <w:sz w:val="24"/>
          <w:szCs w:val="24"/>
        </w:rPr>
      </w:pPr>
    </w:p>
    <w:p w14:paraId="21690FD0" w14:textId="77777777" w:rsidR="00C072D3" w:rsidRDefault="00C072D3" w:rsidP="00C072D3">
      <w:pPr>
        <w:jc w:val="both"/>
        <w:rPr>
          <w:sz w:val="24"/>
          <w:szCs w:val="24"/>
        </w:rPr>
      </w:pPr>
    </w:p>
    <w:p w14:paraId="7DFDA962" w14:textId="77777777" w:rsidR="00C072D3" w:rsidRDefault="00C072D3" w:rsidP="00C072D3">
      <w:pPr>
        <w:jc w:val="both"/>
        <w:rPr>
          <w:sz w:val="24"/>
          <w:szCs w:val="24"/>
        </w:rPr>
      </w:pPr>
    </w:p>
    <w:p w14:paraId="56659423" w14:textId="77777777" w:rsidR="00C072D3" w:rsidRDefault="00C072D3" w:rsidP="00C072D3">
      <w:pPr>
        <w:jc w:val="both"/>
        <w:rPr>
          <w:sz w:val="24"/>
          <w:szCs w:val="24"/>
        </w:rPr>
      </w:pPr>
    </w:p>
    <w:p w14:paraId="627A8C0A" w14:textId="77777777" w:rsidR="00C072D3" w:rsidRDefault="00C072D3" w:rsidP="00C072D3">
      <w:pPr>
        <w:jc w:val="both"/>
        <w:rPr>
          <w:sz w:val="24"/>
          <w:szCs w:val="24"/>
        </w:rPr>
      </w:pPr>
    </w:p>
    <w:p w14:paraId="505B91EA" w14:textId="77777777" w:rsidR="00C072D3" w:rsidRDefault="00C072D3" w:rsidP="00C072D3">
      <w:pPr>
        <w:jc w:val="both"/>
        <w:rPr>
          <w:sz w:val="24"/>
          <w:szCs w:val="24"/>
        </w:rPr>
      </w:pPr>
    </w:p>
    <w:p w14:paraId="77B96338" w14:textId="77777777" w:rsidR="00C072D3" w:rsidRDefault="00C072D3" w:rsidP="00C072D3">
      <w:pPr>
        <w:jc w:val="both"/>
        <w:rPr>
          <w:sz w:val="24"/>
          <w:szCs w:val="24"/>
        </w:rPr>
      </w:pPr>
    </w:p>
    <w:p w14:paraId="58B2CF0F" w14:textId="77777777" w:rsidR="00C072D3" w:rsidRDefault="00C072D3" w:rsidP="00C072D3">
      <w:pPr>
        <w:jc w:val="both"/>
        <w:rPr>
          <w:sz w:val="24"/>
          <w:szCs w:val="24"/>
        </w:rPr>
      </w:pPr>
    </w:p>
    <w:p w14:paraId="46B516B7" w14:textId="77777777" w:rsidR="00C072D3" w:rsidRDefault="00C072D3" w:rsidP="00C072D3">
      <w:pPr>
        <w:jc w:val="both"/>
        <w:rPr>
          <w:sz w:val="24"/>
          <w:szCs w:val="24"/>
        </w:rPr>
      </w:pPr>
    </w:p>
    <w:p w14:paraId="15620EBF" w14:textId="77777777" w:rsidR="00C072D3" w:rsidRDefault="00C072D3" w:rsidP="00C072D3">
      <w:pPr>
        <w:jc w:val="both"/>
        <w:rPr>
          <w:sz w:val="24"/>
          <w:szCs w:val="24"/>
        </w:rPr>
      </w:pPr>
    </w:p>
    <w:p w14:paraId="3A98E481" w14:textId="77777777" w:rsidR="00C072D3" w:rsidRDefault="00C072D3" w:rsidP="00C072D3">
      <w:pPr>
        <w:jc w:val="both"/>
        <w:rPr>
          <w:sz w:val="24"/>
          <w:szCs w:val="24"/>
        </w:rPr>
      </w:pPr>
    </w:p>
    <w:p w14:paraId="37A76C1F" w14:textId="77777777" w:rsidR="00C072D3" w:rsidRDefault="00C072D3" w:rsidP="00C072D3">
      <w:pPr>
        <w:jc w:val="both"/>
        <w:rPr>
          <w:sz w:val="24"/>
          <w:szCs w:val="24"/>
        </w:rPr>
      </w:pPr>
    </w:p>
    <w:p w14:paraId="672E4BE1" w14:textId="77777777" w:rsidR="00C072D3" w:rsidRDefault="00C072D3" w:rsidP="00C072D3">
      <w:pPr>
        <w:jc w:val="both"/>
        <w:rPr>
          <w:sz w:val="24"/>
          <w:szCs w:val="24"/>
        </w:rPr>
      </w:pPr>
    </w:p>
    <w:p w14:paraId="0C56B7E7" w14:textId="77777777" w:rsidR="00C072D3" w:rsidRDefault="00C072D3" w:rsidP="00C072D3">
      <w:pPr>
        <w:jc w:val="both"/>
        <w:rPr>
          <w:sz w:val="24"/>
          <w:szCs w:val="24"/>
        </w:rPr>
      </w:pPr>
    </w:p>
    <w:p w14:paraId="4206F365" w14:textId="77777777" w:rsidR="00C072D3" w:rsidRDefault="00C072D3" w:rsidP="00C072D3">
      <w:pPr>
        <w:jc w:val="both"/>
        <w:rPr>
          <w:sz w:val="24"/>
          <w:szCs w:val="24"/>
        </w:rPr>
      </w:pPr>
    </w:p>
    <w:p w14:paraId="61224EFE" w14:textId="77777777" w:rsidR="00C072D3" w:rsidRDefault="00C072D3" w:rsidP="00C072D3">
      <w:pPr>
        <w:jc w:val="both"/>
        <w:rPr>
          <w:sz w:val="24"/>
          <w:szCs w:val="24"/>
        </w:rPr>
      </w:pPr>
    </w:p>
    <w:p w14:paraId="5538E58D" w14:textId="77777777" w:rsidR="00C072D3" w:rsidRDefault="00C072D3" w:rsidP="00C072D3">
      <w:pPr>
        <w:jc w:val="both"/>
        <w:rPr>
          <w:sz w:val="24"/>
          <w:szCs w:val="24"/>
        </w:rPr>
      </w:pPr>
    </w:p>
    <w:p w14:paraId="48186B77" w14:textId="77777777" w:rsidR="00C072D3" w:rsidRDefault="00C072D3" w:rsidP="00C072D3">
      <w:pPr>
        <w:jc w:val="both"/>
        <w:rPr>
          <w:sz w:val="24"/>
          <w:szCs w:val="24"/>
        </w:rPr>
      </w:pPr>
    </w:p>
    <w:p w14:paraId="7C3D1B7C" w14:textId="77777777" w:rsidR="00C072D3" w:rsidRDefault="00C072D3" w:rsidP="00C072D3">
      <w:pPr>
        <w:jc w:val="both"/>
        <w:rPr>
          <w:sz w:val="24"/>
          <w:szCs w:val="24"/>
        </w:rPr>
      </w:pPr>
    </w:p>
    <w:p w14:paraId="71E79065" w14:textId="77777777" w:rsidR="00C072D3" w:rsidRDefault="00C072D3" w:rsidP="00C072D3">
      <w:pPr>
        <w:jc w:val="both"/>
        <w:rPr>
          <w:sz w:val="24"/>
          <w:szCs w:val="24"/>
        </w:rPr>
      </w:pPr>
    </w:p>
    <w:p w14:paraId="71749C53" w14:textId="77777777" w:rsidR="00C072D3" w:rsidRPr="00C072D3" w:rsidRDefault="00C072D3" w:rsidP="00C072D3">
      <w:pPr>
        <w:jc w:val="both"/>
        <w:rPr>
          <w:sz w:val="24"/>
          <w:szCs w:val="24"/>
        </w:rPr>
      </w:pPr>
    </w:p>
    <w:p w14:paraId="513F9EC0" w14:textId="1BA4D536" w:rsidR="00C072D3" w:rsidRPr="00C072D3" w:rsidRDefault="00C072D3" w:rsidP="00C072D3">
      <w:pPr>
        <w:pStyle w:val="Ttulo1"/>
        <w:spacing w:before="64"/>
        <w:ind w:right="140"/>
        <w:jc w:val="left"/>
        <w:rPr>
          <w:spacing w:val="-2"/>
        </w:rPr>
      </w:pPr>
      <w:r w:rsidRPr="00C072D3">
        <w:rPr>
          <w:spacing w:val="-2"/>
        </w:rPr>
        <w:lastRenderedPageBreak/>
        <w:t>Conclusão</w:t>
      </w:r>
    </w:p>
    <w:p w14:paraId="29D21557" w14:textId="6163BB0C" w:rsidR="00C072D3" w:rsidRPr="00C072D3" w:rsidRDefault="00C072D3" w:rsidP="00C072D3">
      <w:pPr>
        <w:pStyle w:val="NormalWeb"/>
        <w:ind w:firstLine="1985"/>
        <w:jc w:val="both"/>
        <w:rPr>
          <w:rFonts w:ascii="Arial" w:eastAsia="Arial" w:hAnsi="Arial" w:cs="Arial"/>
          <w:lang w:val="pt-PT" w:eastAsia="en-US"/>
        </w:rPr>
      </w:pPr>
      <w:r w:rsidRPr="00C072D3">
        <w:rPr>
          <w:rFonts w:ascii="Arial" w:eastAsia="Arial" w:hAnsi="Arial" w:cs="Arial"/>
          <w:lang w:val="pt-PT" w:eastAsia="en-US"/>
        </w:rPr>
        <w:t>O exercício de 2025 apresentou desempenho institucional superior às metas previstas no Plano Estratégico 2024–2027, com cumprimento médio acima de 100% nos principais eixos.</w:t>
      </w:r>
    </w:p>
    <w:p w14:paraId="7B896499" w14:textId="77777777" w:rsidR="00C072D3" w:rsidRPr="00C072D3" w:rsidRDefault="00C072D3" w:rsidP="00C072D3">
      <w:pPr>
        <w:pStyle w:val="NormalWeb"/>
        <w:ind w:firstLine="1985"/>
        <w:jc w:val="both"/>
        <w:rPr>
          <w:rFonts w:ascii="Arial" w:eastAsia="Arial" w:hAnsi="Arial" w:cs="Arial"/>
          <w:lang w:val="pt-PT" w:eastAsia="en-US"/>
        </w:rPr>
      </w:pPr>
      <w:r w:rsidRPr="00C072D3">
        <w:rPr>
          <w:rFonts w:ascii="Arial" w:eastAsia="Arial" w:hAnsi="Arial" w:cs="Arial"/>
          <w:lang w:val="pt-PT" w:eastAsia="en-US"/>
        </w:rPr>
        <w:t>Os resultados demonstram evolução na atuação legislativa, fortalecimento da função fiscalizatória, responsabilidade fiscal, investimento em capacitação e avanço na modernização tecnológica, assegurando governança, eficiência e transparência na gestão pública.</w:t>
      </w:r>
    </w:p>
    <w:p w14:paraId="4EA90692" w14:textId="0223CDCB" w:rsidR="00702F5B" w:rsidRDefault="00702F5B" w:rsidP="00702F5B"/>
    <w:p w14:paraId="27FF0337" w14:textId="1A7D814F" w:rsidR="00625D26" w:rsidRDefault="00625D26" w:rsidP="002F0282">
      <w:pPr>
        <w:pStyle w:val="Corpodetexto"/>
        <w:spacing w:before="336" w:line="360" w:lineRule="auto"/>
        <w:jc w:val="both"/>
        <w:rPr>
          <w:sz w:val="24"/>
          <w:szCs w:val="24"/>
        </w:rPr>
      </w:pPr>
    </w:p>
    <w:p w14:paraId="465167A8" w14:textId="77777777" w:rsidR="00C072D3" w:rsidRDefault="00C072D3" w:rsidP="002F0282">
      <w:pPr>
        <w:pStyle w:val="Corpodetexto"/>
        <w:spacing w:before="336" w:line="360" w:lineRule="auto"/>
        <w:jc w:val="both"/>
        <w:rPr>
          <w:sz w:val="24"/>
          <w:szCs w:val="24"/>
        </w:rPr>
      </w:pPr>
    </w:p>
    <w:p w14:paraId="46B19458" w14:textId="77777777" w:rsidR="00C072D3" w:rsidRDefault="00C072D3" w:rsidP="002F0282">
      <w:pPr>
        <w:pStyle w:val="Corpodetexto"/>
        <w:spacing w:before="336" w:line="360" w:lineRule="auto"/>
        <w:jc w:val="both"/>
        <w:rPr>
          <w:sz w:val="24"/>
          <w:szCs w:val="24"/>
        </w:rPr>
      </w:pPr>
    </w:p>
    <w:p w14:paraId="5A2C5E69" w14:textId="4027985F" w:rsidR="00C072D3" w:rsidRDefault="00C072D3" w:rsidP="00C072D3">
      <w:pPr>
        <w:pStyle w:val="Corpodetexto"/>
        <w:spacing w:before="336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Mesa Diretora</w:t>
      </w:r>
    </w:p>
    <w:p w14:paraId="7CD1155D" w14:textId="17F85202" w:rsidR="00C072D3" w:rsidRPr="00C072D3" w:rsidRDefault="00C072D3" w:rsidP="00C072D3">
      <w:pPr>
        <w:pStyle w:val="Corpodetexto"/>
        <w:spacing w:before="336" w:line="360" w:lineRule="auto"/>
        <w:contextualSpacing/>
        <w:jc w:val="center"/>
        <w:rPr>
          <w:b/>
          <w:bCs/>
          <w:sz w:val="24"/>
          <w:szCs w:val="24"/>
        </w:rPr>
      </w:pPr>
      <w:r w:rsidRPr="00C072D3">
        <w:rPr>
          <w:b/>
          <w:bCs/>
          <w:sz w:val="24"/>
          <w:szCs w:val="24"/>
        </w:rPr>
        <w:t>Câmara Municipal de Equador/RN</w:t>
      </w:r>
    </w:p>
    <w:sectPr w:rsidR="00C072D3" w:rsidRPr="00C072D3">
      <w:pgSz w:w="11910" w:h="16840"/>
      <w:pgMar w:top="150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4C56" w14:textId="77777777" w:rsidR="000C3986" w:rsidRDefault="000C3986" w:rsidP="003F09A1">
      <w:r>
        <w:separator/>
      </w:r>
    </w:p>
  </w:endnote>
  <w:endnote w:type="continuationSeparator" w:id="0">
    <w:p w14:paraId="350127FA" w14:textId="77777777" w:rsidR="000C3986" w:rsidRDefault="000C3986" w:rsidP="003F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E1A4" w14:textId="77777777" w:rsidR="000C3986" w:rsidRDefault="000C3986" w:rsidP="003F09A1">
      <w:r>
        <w:separator/>
      </w:r>
    </w:p>
  </w:footnote>
  <w:footnote w:type="continuationSeparator" w:id="0">
    <w:p w14:paraId="4B81AC86" w14:textId="77777777" w:rsidR="000C3986" w:rsidRDefault="000C3986" w:rsidP="003F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5CEB" w14:textId="1831BA1D" w:rsidR="003F09A1" w:rsidRDefault="003F09A1" w:rsidP="003F09A1">
    <w:pPr>
      <w:pStyle w:val="Ttulo1"/>
      <w:spacing w:before="1" w:line="360" w:lineRule="auto"/>
      <w:ind w:left="0" w:right="0"/>
    </w:pPr>
    <w:r>
      <w:t>CÂMARA</w:t>
    </w:r>
    <w:r>
      <w:rPr>
        <w:spacing w:val="-11"/>
      </w:rPr>
      <w:t xml:space="preserve"> </w:t>
    </w:r>
    <w:r>
      <w:t>MUNICIPAL</w:t>
    </w:r>
    <w:r>
      <w:rPr>
        <w:spacing w:val="-11"/>
      </w:rPr>
      <w:t xml:space="preserve"> </w:t>
    </w:r>
    <w:r>
      <w:t>DE</w:t>
    </w:r>
    <w:r>
      <w:rPr>
        <w:spacing w:val="-11"/>
      </w:rPr>
      <w:t xml:space="preserve"> </w:t>
    </w:r>
    <w:r>
      <w:t>EQUADOR/RN RELATÓRIO DE GESTÃO 202</w:t>
    </w:r>
    <w:r w:rsidR="00C072D3">
      <w:t>5</w:t>
    </w:r>
  </w:p>
  <w:p w14:paraId="0E764602" w14:textId="77777777" w:rsidR="003F09A1" w:rsidRDefault="003F0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B4C"/>
    <w:multiLevelType w:val="multilevel"/>
    <w:tmpl w:val="DCC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5BAD"/>
    <w:multiLevelType w:val="multilevel"/>
    <w:tmpl w:val="A91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1394"/>
    <w:multiLevelType w:val="multilevel"/>
    <w:tmpl w:val="A95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F1AE7"/>
    <w:multiLevelType w:val="multilevel"/>
    <w:tmpl w:val="8ED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53EBB"/>
    <w:multiLevelType w:val="multilevel"/>
    <w:tmpl w:val="8A7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55627"/>
    <w:multiLevelType w:val="multilevel"/>
    <w:tmpl w:val="BA9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94341"/>
    <w:multiLevelType w:val="multilevel"/>
    <w:tmpl w:val="90D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C3BD2"/>
    <w:multiLevelType w:val="multilevel"/>
    <w:tmpl w:val="463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45336"/>
    <w:multiLevelType w:val="multilevel"/>
    <w:tmpl w:val="317E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27DE7"/>
    <w:multiLevelType w:val="multilevel"/>
    <w:tmpl w:val="C02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C243A"/>
    <w:multiLevelType w:val="multilevel"/>
    <w:tmpl w:val="156C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4EF1"/>
    <w:multiLevelType w:val="hybridMultilevel"/>
    <w:tmpl w:val="01DA56B2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385855DF"/>
    <w:multiLevelType w:val="multilevel"/>
    <w:tmpl w:val="411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660E6"/>
    <w:multiLevelType w:val="multilevel"/>
    <w:tmpl w:val="2CA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5255A"/>
    <w:multiLevelType w:val="hybridMultilevel"/>
    <w:tmpl w:val="4670A3B6"/>
    <w:lvl w:ilvl="0" w:tplc="177E84E8">
      <w:numFmt w:val="bullet"/>
      <w:lvlText w:val="-"/>
      <w:lvlJc w:val="left"/>
      <w:pPr>
        <w:ind w:left="1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C507BAE">
      <w:numFmt w:val="bullet"/>
      <w:lvlText w:val="•"/>
      <w:lvlJc w:val="left"/>
      <w:pPr>
        <w:ind w:left="892" w:hanging="123"/>
      </w:pPr>
      <w:rPr>
        <w:rFonts w:hint="default"/>
        <w:lang w:val="pt-PT" w:eastAsia="en-US" w:bidi="ar-SA"/>
      </w:rPr>
    </w:lvl>
    <w:lvl w:ilvl="2" w:tplc="65C23CE8">
      <w:numFmt w:val="bullet"/>
      <w:lvlText w:val="•"/>
      <w:lvlJc w:val="left"/>
      <w:pPr>
        <w:ind w:left="1785" w:hanging="123"/>
      </w:pPr>
      <w:rPr>
        <w:rFonts w:hint="default"/>
        <w:lang w:val="pt-PT" w:eastAsia="en-US" w:bidi="ar-SA"/>
      </w:rPr>
    </w:lvl>
    <w:lvl w:ilvl="3" w:tplc="09E2736A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 w:tplc="4CD29C3A">
      <w:numFmt w:val="bullet"/>
      <w:lvlText w:val="•"/>
      <w:lvlJc w:val="left"/>
      <w:pPr>
        <w:ind w:left="3571" w:hanging="123"/>
      </w:pPr>
      <w:rPr>
        <w:rFonts w:hint="default"/>
        <w:lang w:val="pt-PT" w:eastAsia="en-US" w:bidi="ar-SA"/>
      </w:rPr>
    </w:lvl>
    <w:lvl w:ilvl="5" w:tplc="D318FBFC">
      <w:numFmt w:val="bullet"/>
      <w:lvlText w:val="•"/>
      <w:lvlJc w:val="left"/>
      <w:pPr>
        <w:ind w:left="4464" w:hanging="123"/>
      </w:pPr>
      <w:rPr>
        <w:rFonts w:hint="default"/>
        <w:lang w:val="pt-PT" w:eastAsia="en-US" w:bidi="ar-SA"/>
      </w:rPr>
    </w:lvl>
    <w:lvl w:ilvl="6" w:tplc="7572F24E">
      <w:numFmt w:val="bullet"/>
      <w:lvlText w:val="•"/>
      <w:lvlJc w:val="left"/>
      <w:pPr>
        <w:ind w:left="5357" w:hanging="123"/>
      </w:pPr>
      <w:rPr>
        <w:rFonts w:hint="default"/>
        <w:lang w:val="pt-PT" w:eastAsia="en-US" w:bidi="ar-SA"/>
      </w:rPr>
    </w:lvl>
    <w:lvl w:ilvl="7" w:tplc="41E6A47E">
      <w:numFmt w:val="bullet"/>
      <w:lvlText w:val="•"/>
      <w:lvlJc w:val="left"/>
      <w:pPr>
        <w:ind w:left="6250" w:hanging="123"/>
      </w:pPr>
      <w:rPr>
        <w:rFonts w:hint="default"/>
        <w:lang w:val="pt-PT" w:eastAsia="en-US" w:bidi="ar-SA"/>
      </w:rPr>
    </w:lvl>
    <w:lvl w:ilvl="8" w:tplc="1270B5B4">
      <w:numFmt w:val="bullet"/>
      <w:lvlText w:val="•"/>
      <w:lvlJc w:val="left"/>
      <w:pPr>
        <w:ind w:left="7143" w:hanging="123"/>
      </w:pPr>
      <w:rPr>
        <w:rFonts w:hint="default"/>
        <w:lang w:val="pt-PT" w:eastAsia="en-US" w:bidi="ar-SA"/>
      </w:rPr>
    </w:lvl>
  </w:abstractNum>
  <w:abstractNum w:abstractNumId="15" w15:restartNumberingAfterBreak="0">
    <w:nsid w:val="5C7F356A"/>
    <w:multiLevelType w:val="multilevel"/>
    <w:tmpl w:val="E45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B6F75"/>
    <w:multiLevelType w:val="multilevel"/>
    <w:tmpl w:val="419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82C9A"/>
    <w:multiLevelType w:val="hybridMultilevel"/>
    <w:tmpl w:val="0CCC495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7BC16A93"/>
    <w:multiLevelType w:val="multilevel"/>
    <w:tmpl w:val="D4C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F6615"/>
    <w:multiLevelType w:val="multilevel"/>
    <w:tmpl w:val="FE3C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92942">
    <w:abstractNumId w:val="14"/>
  </w:num>
  <w:num w:numId="2" w16cid:durableId="1520313855">
    <w:abstractNumId w:val="2"/>
  </w:num>
  <w:num w:numId="3" w16cid:durableId="1992754767">
    <w:abstractNumId w:val="9"/>
  </w:num>
  <w:num w:numId="4" w16cid:durableId="1463309134">
    <w:abstractNumId w:val="4"/>
  </w:num>
  <w:num w:numId="5" w16cid:durableId="1486317401">
    <w:abstractNumId w:val="10"/>
  </w:num>
  <w:num w:numId="6" w16cid:durableId="2037808443">
    <w:abstractNumId w:val="1"/>
  </w:num>
  <w:num w:numId="7" w16cid:durableId="1288778291">
    <w:abstractNumId w:val="6"/>
  </w:num>
  <w:num w:numId="8" w16cid:durableId="310453392">
    <w:abstractNumId w:val="18"/>
  </w:num>
  <w:num w:numId="9" w16cid:durableId="561789539">
    <w:abstractNumId w:val="11"/>
  </w:num>
  <w:num w:numId="10" w16cid:durableId="581840431">
    <w:abstractNumId w:val="17"/>
  </w:num>
  <w:num w:numId="11" w16cid:durableId="2130195585">
    <w:abstractNumId w:val="7"/>
  </w:num>
  <w:num w:numId="12" w16cid:durableId="448820048">
    <w:abstractNumId w:val="19"/>
  </w:num>
  <w:num w:numId="13" w16cid:durableId="771781322">
    <w:abstractNumId w:val="5"/>
  </w:num>
  <w:num w:numId="14" w16cid:durableId="895968312">
    <w:abstractNumId w:val="3"/>
  </w:num>
  <w:num w:numId="15" w16cid:durableId="1028405799">
    <w:abstractNumId w:val="0"/>
  </w:num>
  <w:num w:numId="16" w16cid:durableId="1558321692">
    <w:abstractNumId w:val="12"/>
  </w:num>
  <w:num w:numId="17" w16cid:durableId="545876324">
    <w:abstractNumId w:val="13"/>
  </w:num>
  <w:num w:numId="18" w16cid:durableId="155387187">
    <w:abstractNumId w:val="16"/>
  </w:num>
  <w:num w:numId="19" w16cid:durableId="93524514">
    <w:abstractNumId w:val="8"/>
  </w:num>
  <w:num w:numId="20" w16cid:durableId="992564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26"/>
    <w:rsid w:val="00007AC2"/>
    <w:rsid w:val="000C3986"/>
    <w:rsid w:val="00250EE0"/>
    <w:rsid w:val="00282507"/>
    <w:rsid w:val="002F0282"/>
    <w:rsid w:val="003F09A1"/>
    <w:rsid w:val="00446381"/>
    <w:rsid w:val="00625D26"/>
    <w:rsid w:val="00702F5B"/>
    <w:rsid w:val="007A7D62"/>
    <w:rsid w:val="009B01B4"/>
    <w:rsid w:val="00C072D3"/>
    <w:rsid w:val="00E14BA2"/>
    <w:rsid w:val="00F8110C"/>
    <w:rsid w:val="00FB2509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0387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" w:right="141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2F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F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F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"/>
      <w:ind w:left="122" w:hanging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0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9A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0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9A1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702F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02F5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2F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2F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2F5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702F5B"/>
    <w:rPr>
      <w:b/>
      <w:bCs/>
    </w:rPr>
  </w:style>
  <w:style w:type="character" w:customStyle="1" w:styleId="relative">
    <w:name w:val="relative"/>
    <w:basedOn w:val="Fontepargpadro"/>
    <w:rsid w:val="00C072D3"/>
  </w:style>
  <w:style w:type="paragraph" w:customStyle="1" w:styleId="not-prose">
    <w:name w:val="not-prose"/>
    <w:basedOn w:val="Normal"/>
    <w:rsid w:val="00C072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484</Words>
  <Characters>3176</Characters>
  <Application>Microsoft Office Word</Application>
  <DocSecurity>0</DocSecurity>
  <Lines>167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.</cp:lastModifiedBy>
  <cp:revision>6</cp:revision>
  <dcterms:created xsi:type="dcterms:W3CDTF">2025-10-10T16:48:00Z</dcterms:created>
  <dcterms:modified xsi:type="dcterms:W3CDTF">2026-02-20T20:40:00Z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2025-10-10T00:00:00Z</vt:filetime>
  </property>
  <property fmtid="{D5CDD505-2E9C-101B-9397-08002B2CF9AE}" pid="5" name="Producer">
    <vt:lpwstr>ReportLab PDF Library - www.reportlab.com</vt:lpwstr>
  </property>
</Properties>
</file>