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77777777" w:rsidR="00CA7794" w:rsidRDefault="00000000">
      <w:pPr>
        <w:pStyle w:val="Corpodetexto"/>
        <w:ind w:left="20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F0B6AB" wp14:editId="199C9304">
            <wp:extent cx="3017119" cy="1044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119" cy="104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9149669" w14:textId="77777777" w:rsidR="00CA7794" w:rsidRDefault="00CA7794">
      <w:pPr>
        <w:pStyle w:val="Corpodetexto"/>
        <w:spacing w:before="446"/>
        <w:rPr>
          <w:rFonts w:ascii="Times New Roman"/>
          <w:sz w:val="44"/>
        </w:rPr>
      </w:pPr>
    </w:p>
    <w:p w14:paraId="45DB07D8" w14:textId="77777777" w:rsidR="00CA7794" w:rsidRDefault="00000000">
      <w:pPr>
        <w:pStyle w:val="Ttulo"/>
        <w:spacing w:line="393" w:lineRule="auto"/>
        <w:ind w:firstLine="1968"/>
      </w:pPr>
      <w:r>
        <w:t>PLANO ESTRATÉGICO CÂMARA</w:t>
      </w:r>
      <w:r>
        <w:rPr>
          <w:spacing w:val="-26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EQUADOR/RN</w:t>
      </w:r>
    </w:p>
    <w:p w14:paraId="7EC8D12A" w14:textId="6B1E499C" w:rsidR="00CA7794" w:rsidRDefault="00000000">
      <w:pPr>
        <w:pStyle w:val="Ttulo"/>
        <w:spacing w:before="10"/>
        <w:ind w:left="1578"/>
      </w:pPr>
      <w:r>
        <w:t>LEGISLATURA</w:t>
      </w:r>
      <w:r>
        <w:rPr>
          <w:spacing w:val="-3"/>
        </w:rPr>
        <w:t xml:space="preserve"> </w:t>
      </w:r>
      <w:r>
        <w:t>202</w:t>
      </w:r>
      <w:r w:rsidR="00AC7188"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AC7188">
        <w:rPr>
          <w:spacing w:val="-4"/>
        </w:rPr>
        <w:t>7</w:t>
      </w:r>
    </w:p>
    <w:p w14:paraId="790D4771" w14:textId="77777777" w:rsidR="00CA7794" w:rsidRDefault="00CA7794">
      <w:pPr>
        <w:pStyle w:val="Corpodetexto"/>
        <w:rPr>
          <w:rFonts w:ascii="Arial Black"/>
          <w:sz w:val="44"/>
        </w:rPr>
      </w:pP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15CF4819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44420B57" w14:textId="46412E5F" w:rsidR="00CA7794" w:rsidRDefault="00000000">
      <w:pPr>
        <w:spacing w:line="448" w:lineRule="auto"/>
        <w:ind w:left="3777" w:right="3696"/>
        <w:jc w:val="center"/>
        <w:rPr>
          <w:b/>
        </w:rPr>
      </w:pPr>
      <w:r>
        <w:rPr>
          <w:b/>
          <w:spacing w:val="-2"/>
        </w:rPr>
        <w:t xml:space="preserve">EQUADOR/RN </w:t>
      </w:r>
      <w:r>
        <w:rPr>
          <w:b/>
          <w:spacing w:val="-4"/>
        </w:rPr>
        <w:t>202</w:t>
      </w:r>
      <w:r w:rsidR="00AC7188">
        <w:rPr>
          <w:b/>
          <w:spacing w:val="-4"/>
        </w:rPr>
        <w:t>4</w:t>
      </w:r>
    </w:p>
    <w:p w14:paraId="34B9E9CA" w14:textId="77777777" w:rsidR="00CA7794" w:rsidRDefault="00CA7794">
      <w:pPr>
        <w:spacing w:line="448" w:lineRule="auto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</w:p>
    <w:p w14:paraId="35CBF9C5" w14:textId="16DA59C9" w:rsidR="00AC7188" w:rsidRDefault="00AC7188" w:rsidP="00AC7188"/>
    <w:p w14:paraId="6D39C5DE" w14:textId="435F94F4" w:rsidR="00AC7188" w:rsidRDefault="00AC7188" w:rsidP="00AC7188">
      <w:pPr>
        <w:pStyle w:val="Ttulo1"/>
        <w:spacing w:before="1"/>
        <w:ind w:left="4283"/>
        <w:rPr>
          <w:spacing w:val="-2"/>
        </w:rPr>
      </w:pPr>
      <w:r w:rsidRPr="00AC7188">
        <w:rPr>
          <w:spacing w:val="-2"/>
        </w:rPr>
        <w:t>Apresentação</w:t>
      </w:r>
    </w:p>
    <w:p w14:paraId="6BD2F3A8" w14:textId="77777777" w:rsidR="00AC7188" w:rsidRPr="00AC7188" w:rsidRDefault="00AC7188" w:rsidP="00AC7188">
      <w:pPr>
        <w:pStyle w:val="Ttulo1"/>
        <w:spacing w:before="1"/>
        <w:ind w:left="4283"/>
        <w:rPr>
          <w:spacing w:val="-2"/>
        </w:rPr>
      </w:pPr>
    </w:p>
    <w:p w14:paraId="5C68C48A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 xml:space="preserve">O presente </w:t>
      </w:r>
      <w:r w:rsidRPr="00AC7188">
        <w:rPr>
          <w:b/>
          <w:bCs/>
        </w:rPr>
        <w:t>Plano Estratégico Institucional (PEI) 2024–2027</w:t>
      </w:r>
      <w:r>
        <w:t xml:space="preserve"> foi elaborado em consonância com as diretrizes de planejamento e gestão pública estabelecidas pela </w:t>
      </w:r>
      <w:r w:rsidRPr="00AC7188">
        <w:rPr>
          <w:b/>
          <w:bCs/>
        </w:rPr>
        <w:t>Instrução Normativa TCU nº 63/2010</w:t>
      </w:r>
      <w:r>
        <w:t xml:space="preserve"> e pela </w:t>
      </w:r>
      <w:r w:rsidRPr="00AC7188">
        <w:rPr>
          <w:b/>
          <w:bCs/>
        </w:rPr>
        <w:t>Portaria TCU nº 150/2012</w:t>
      </w:r>
      <w:r>
        <w:t xml:space="preserve">, bem como pelos critérios do </w:t>
      </w:r>
      <w:r w:rsidRPr="00AC7188">
        <w:rPr>
          <w:b/>
          <w:bCs/>
        </w:rPr>
        <w:t>Tribunal de Contas do Estado do Rio Grande do Norte (TCERN)</w:t>
      </w:r>
      <w:r>
        <w:t>.</w:t>
      </w:r>
    </w:p>
    <w:p w14:paraId="3A48DBBE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 xml:space="preserve">O documento define </w:t>
      </w:r>
      <w:r w:rsidRPr="00AC7188">
        <w:rPr>
          <w:b/>
          <w:bCs/>
        </w:rPr>
        <w:t>metas, indicadores e objetivos estratégicos</w:t>
      </w:r>
      <w:r>
        <w:t xml:space="preserve"> para orientar as ações da Câmara Municipal de Equador/RN, assegurando a efetividade de sua atuação legislativa, fiscalizadora e administrativa, com foco em </w:t>
      </w:r>
      <w:r w:rsidRPr="00AC7188">
        <w:rPr>
          <w:b/>
          <w:bCs/>
        </w:rPr>
        <w:t>resultados mensuráveis</w:t>
      </w:r>
      <w:r>
        <w:t xml:space="preserve"> e na </w:t>
      </w:r>
      <w:r w:rsidRPr="00AC7188">
        <w:rPr>
          <w:b/>
          <w:bCs/>
        </w:rPr>
        <w:t>transparência</w:t>
      </w:r>
      <w:r>
        <w:t xml:space="preserve"> da gestão pública.</w:t>
      </w:r>
    </w:p>
    <w:p w14:paraId="1822DA4C" w14:textId="1905FE6E" w:rsidR="00AC7188" w:rsidRDefault="00AC7188" w:rsidP="00AC7188"/>
    <w:p w14:paraId="0C1D5A06" w14:textId="5DB42B82" w:rsidR="00AC7188" w:rsidRPr="00AC7188" w:rsidRDefault="00AC7188" w:rsidP="00AC7188">
      <w:pPr>
        <w:pStyle w:val="Ttulo1"/>
        <w:spacing w:before="1"/>
        <w:ind w:left="4283"/>
        <w:rPr>
          <w:spacing w:val="-2"/>
        </w:rPr>
      </w:pPr>
      <w:r w:rsidRPr="00AC7188">
        <w:rPr>
          <w:spacing w:val="-2"/>
        </w:rPr>
        <w:t>Fundamentação Legal</w:t>
      </w:r>
    </w:p>
    <w:p w14:paraId="5D13456F" w14:textId="77777777" w:rsidR="00AC7188" w:rsidRPr="00AC7188" w:rsidRDefault="00AC7188" w:rsidP="00AC7188">
      <w:pPr>
        <w:pStyle w:val="NormalWeb"/>
        <w:rPr>
          <w:rFonts w:ascii="Arial" w:hAnsi="Arial" w:cs="Arial"/>
        </w:rPr>
      </w:pPr>
      <w:r w:rsidRPr="00AC7188">
        <w:rPr>
          <w:rFonts w:ascii="Arial" w:hAnsi="Arial" w:cs="Arial"/>
        </w:rPr>
        <w:t>O Plano Estratégico está embasado nos seguintes dispositivos legais:</w:t>
      </w:r>
    </w:p>
    <w:p w14:paraId="475BA870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Constituição Federal de 1988 (</w:t>
      </w:r>
      <w:proofErr w:type="spellStart"/>
      <w:r>
        <w:t>art</w:t>
      </w:r>
      <w:proofErr w:type="spellEnd"/>
      <w:r>
        <w:t>. 30 e 31);</w:t>
      </w:r>
    </w:p>
    <w:p w14:paraId="2259A6DB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Lei de Responsabilidade Fiscal (LC 101/2000);</w:t>
      </w:r>
    </w:p>
    <w:p w14:paraId="6462F50D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Lei de Acesso à Informação (Lei nº 12.527/2011);</w:t>
      </w:r>
    </w:p>
    <w:p w14:paraId="435FD73A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Instrução Normativa TCU nº 63/2010;</w:t>
      </w:r>
    </w:p>
    <w:p w14:paraId="4ED0AE4D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Portaria TCU nº 150/2012;</w:t>
      </w:r>
    </w:p>
    <w:p w14:paraId="36BB9ED5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Manual de Planejamento Estratégico do TCERN.</w:t>
      </w:r>
    </w:p>
    <w:p w14:paraId="56C92992" w14:textId="7B36BF96" w:rsidR="00AC7188" w:rsidRDefault="00AC7188" w:rsidP="00AC7188"/>
    <w:p w14:paraId="7E4C97DB" w14:textId="17B5B46C" w:rsidR="00AC7188" w:rsidRPr="00AC7188" w:rsidRDefault="00AC7188" w:rsidP="00AC7188">
      <w:pPr>
        <w:pStyle w:val="Ttulo1"/>
        <w:spacing w:before="1"/>
        <w:ind w:left="4283"/>
        <w:rPr>
          <w:spacing w:val="-2"/>
        </w:rPr>
      </w:pPr>
      <w:r w:rsidRPr="00AC7188">
        <w:rPr>
          <w:spacing w:val="-2"/>
        </w:rPr>
        <w:t>Missão, Visão e Valores</w:t>
      </w:r>
    </w:p>
    <w:p w14:paraId="3C09DC8A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 w:rsidRPr="00AC7188">
        <w:rPr>
          <w:b/>
          <w:bCs/>
        </w:rPr>
        <w:t>Missão</w:t>
      </w:r>
      <w:r>
        <w:rPr>
          <w:b/>
          <w:bCs/>
        </w:rPr>
        <w:t>:</w:t>
      </w:r>
    </w:p>
    <w:p w14:paraId="5B6ABA3F" w14:textId="66F765D0" w:rsidR="00AC7188" w:rsidRPr="00AC7188" w:rsidRDefault="00AC7188" w:rsidP="00AC7188">
      <w:pPr>
        <w:pStyle w:val="Corpodetexto"/>
        <w:spacing w:line="360" w:lineRule="auto"/>
        <w:ind w:left="854" w:right="137" w:firstLine="704"/>
        <w:jc w:val="both"/>
        <w:rPr>
          <w:b/>
          <w:bCs/>
        </w:rPr>
      </w:pPr>
      <w:r>
        <w:t xml:space="preserve">Representar o cidadão </w:t>
      </w:r>
      <w:proofErr w:type="spellStart"/>
      <w:r>
        <w:t>equadorense</w:t>
      </w:r>
      <w:proofErr w:type="spellEnd"/>
      <w:r>
        <w:t>, elaborar leis e fiscalizar os atos do Poder Executivo, promovendo a democracia, a transparência e o desenvolvimento sustentável do município.</w:t>
      </w:r>
    </w:p>
    <w:p w14:paraId="527EBAD2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 w:rsidRPr="00AC7188">
        <w:rPr>
          <w:b/>
          <w:bCs/>
        </w:rPr>
        <w:t>Visão:</w:t>
      </w:r>
    </w:p>
    <w:p w14:paraId="2877EF4F" w14:textId="00F85919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 xml:space="preserve">Ser reconhecida até 2027 como uma Câmara Municipal referência em </w:t>
      </w:r>
      <w:r w:rsidRPr="00AC7188">
        <w:rPr>
          <w:b/>
          <w:bCs/>
        </w:rPr>
        <w:t>gestão pública transparente, legislativa participativa e inovação administrativa</w:t>
      </w:r>
      <w:r>
        <w:t xml:space="preserve"> no Rio Grande do Norte.</w:t>
      </w:r>
    </w:p>
    <w:p w14:paraId="7E766322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 w:rsidRPr="00AC7188">
        <w:rPr>
          <w:b/>
          <w:bCs/>
        </w:rPr>
        <w:t>Valores:</w:t>
      </w:r>
    </w:p>
    <w:p w14:paraId="1C247D2C" w14:textId="28A28934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>Ética • Transparência • Comprometimento • Eficiência • Legalidade • Participação Cidadã • Responsabilidade Social.</w:t>
      </w:r>
    </w:p>
    <w:p w14:paraId="5F508B52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</w:p>
    <w:p w14:paraId="3EE2C1CC" w14:textId="596E1F9F" w:rsidR="00AC7188" w:rsidRDefault="00AC7188" w:rsidP="00AC7188"/>
    <w:p w14:paraId="1C318D86" w14:textId="7F65DD07" w:rsidR="00AC7188" w:rsidRPr="00AC7188" w:rsidRDefault="00AC7188" w:rsidP="00AC7188">
      <w:pPr>
        <w:pStyle w:val="Ttulo1"/>
        <w:spacing w:before="1"/>
        <w:ind w:left="4283" w:hanging="881"/>
        <w:rPr>
          <w:spacing w:val="-2"/>
        </w:rPr>
      </w:pPr>
      <w:r w:rsidRPr="00AC7188">
        <w:rPr>
          <w:spacing w:val="-2"/>
        </w:rPr>
        <w:lastRenderedPageBreak/>
        <w:t>Diagnóstico Institucional (Situação Atual)</w:t>
      </w:r>
    </w:p>
    <w:p w14:paraId="340EFC10" w14:textId="77777777" w:rsidR="00AC7188" w:rsidRPr="00AC7188" w:rsidRDefault="00AC7188" w:rsidP="00AC7188">
      <w:pPr>
        <w:pStyle w:val="NormalWeb"/>
        <w:rPr>
          <w:rFonts w:ascii="Arial" w:eastAsia="Arial" w:hAnsi="Arial" w:cs="Arial"/>
          <w:b/>
          <w:bCs/>
          <w:lang w:val="pt-PT" w:eastAsia="en-US"/>
        </w:rPr>
      </w:pPr>
      <w:r w:rsidRPr="00AC7188">
        <w:rPr>
          <w:rFonts w:ascii="Arial" w:eastAsia="Arial" w:hAnsi="Arial" w:cs="Arial"/>
          <w:b/>
          <w:bCs/>
          <w:lang w:val="pt-PT" w:eastAsia="en-US"/>
        </w:rPr>
        <w:t>Pontos Fortes</w:t>
      </w:r>
    </w:p>
    <w:p w14:paraId="3DE8B5FF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Regularidade administrativa e financeira.</w:t>
      </w:r>
    </w:p>
    <w:p w14:paraId="239ADCB8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Equipe técnica qualificada.</w:t>
      </w:r>
    </w:p>
    <w:p w14:paraId="07123399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Estrutura física adequada.</w:t>
      </w:r>
    </w:p>
    <w:p w14:paraId="60522343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Comprometimento com a transparência.</w:t>
      </w:r>
    </w:p>
    <w:p w14:paraId="4A1FA166" w14:textId="77777777" w:rsidR="00AC7188" w:rsidRPr="00AC7188" w:rsidRDefault="00AC7188" w:rsidP="00AC7188">
      <w:pPr>
        <w:pStyle w:val="NormalWeb"/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b/>
          <w:bCs/>
          <w:lang w:val="pt-PT" w:eastAsia="en-US"/>
        </w:rPr>
        <w:t>Pontos Fracos</w:t>
      </w:r>
    </w:p>
    <w:p w14:paraId="3A7F9AA6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Ausência de metas estratégicas formalizadas.</w:t>
      </w:r>
    </w:p>
    <w:p w14:paraId="4C5CAEEA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Falta de indicadores de desempenho.</w:t>
      </w:r>
    </w:p>
    <w:p w14:paraId="1AAF3455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Processos administrativos parcialmente digitalizados.</w:t>
      </w:r>
    </w:p>
    <w:p w14:paraId="4E7754E1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Comunicação institucional ainda limitada.</w:t>
      </w:r>
    </w:p>
    <w:p w14:paraId="530017D3" w14:textId="77777777" w:rsidR="00AC7188" w:rsidRPr="00AC7188" w:rsidRDefault="00AC7188" w:rsidP="00AC7188">
      <w:pPr>
        <w:pStyle w:val="NormalWeb"/>
        <w:rPr>
          <w:rFonts w:ascii="Arial" w:eastAsia="Arial" w:hAnsi="Arial" w:cs="Arial"/>
          <w:b/>
          <w:bCs/>
          <w:lang w:val="pt-PT" w:eastAsia="en-US"/>
        </w:rPr>
      </w:pPr>
      <w:r w:rsidRPr="00AC7188">
        <w:rPr>
          <w:rFonts w:ascii="Arial" w:eastAsia="Arial" w:hAnsi="Arial" w:cs="Arial"/>
          <w:b/>
          <w:bCs/>
          <w:lang w:val="pt-PT" w:eastAsia="en-US"/>
        </w:rPr>
        <w:t>Oportunidades</w:t>
      </w:r>
    </w:p>
    <w:p w14:paraId="459EDC8F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Maior engajamento popular por meio de canais digitais.</w:t>
      </w:r>
    </w:p>
    <w:p w14:paraId="7A802ACB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Programas de capacitação do TCERN e FECAM/RN.</w:t>
      </w:r>
    </w:p>
    <w:p w14:paraId="21F6AD93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Parcerias com universidades e órgãos de controle.</w:t>
      </w:r>
    </w:p>
    <w:p w14:paraId="0F6DB599" w14:textId="77777777" w:rsidR="00AC7188" w:rsidRPr="00AC7188" w:rsidRDefault="00AC7188" w:rsidP="00AC7188">
      <w:pPr>
        <w:pStyle w:val="NormalWeb"/>
        <w:rPr>
          <w:rFonts w:ascii="Arial" w:eastAsia="Arial" w:hAnsi="Arial" w:cs="Arial"/>
          <w:b/>
          <w:bCs/>
          <w:lang w:val="pt-PT" w:eastAsia="en-US"/>
        </w:rPr>
      </w:pPr>
      <w:r w:rsidRPr="00AC7188">
        <w:rPr>
          <w:rFonts w:ascii="Arial" w:eastAsia="Arial" w:hAnsi="Arial" w:cs="Arial"/>
          <w:b/>
          <w:bCs/>
          <w:lang w:val="pt-PT" w:eastAsia="en-US"/>
        </w:rPr>
        <w:t>Ameaças</w:t>
      </w:r>
    </w:p>
    <w:p w14:paraId="7EDC7636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Restrições orçamentárias.</w:t>
      </w:r>
    </w:p>
    <w:p w14:paraId="6AAFE855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Rotatividade de cargos comissionados.</w:t>
      </w:r>
    </w:p>
    <w:p w14:paraId="7970E250" w14:textId="77777777" w:rsidR="00AC7188" w:rsidRPr="00AC7188" w:rsidRDefault="00AC7188" w:rsidP="00AC7188">
      <w:pPr>
        <w:pStyle w:val="NormalWeb"/>
        <w:numPr>
          <w:ilvl w:val="0"/>
          <w:numId w:val="5"/>
        </w:numPr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>Baixa cultura de gestão por resultados.</w:t>
      </w:r>
    </w:p>
    <w:p w14:paraId="7AA7044E" w14:textId="11BC59F0" w:rsidR="00AC7188" w:rsidRDefault="00AC7188" w:rsidP="00AC7188"/>
    <w:p w14:paraId="745D1E17" w14:textId="4EEF63D7" w:rsidR="00AC7188" w:rsidRDefault="00AC7188" w:rsidP="00AC7188">
      <w:pPr>
        <w:pStyle w:val="Ttulo1"/>
        <w:spacing w:before="1"/>
        <w:ind w:left="4283" w:hanging="881"/>
        <w:rPr>
          <w:spacing w:val="-2"/>
        </w:rPr>
      </w:pPr>
      <w:r w:rsidRPr="00AC7188">
        <w:rPr>
          <w:spacing w:val="-2"/>
        </w:rPr>
        <w:t>Mapa Estratégico Institucional</w:t>
      </w:r>
    </w:p>
    <w:p w14:paraId="3FF0C8C4" w14:textId="77777777" w:rsidR="00AC7188" w:rsidRPr="00AC7188" w:rsidRDefault="00AC7188" w:rsidP="00AC7188">
      <w:pPr>
        <w:pStyle w:val="Ttulo1"/>
        <w:spacing w:before="1"/>
        <w:ind w:left="4283" w:hanging="881"/>
        <w:rPr>
          <w:spacing w:val="-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3561"/>
        <w:gridCol w:w="3186"/>
      </w:tblGrid>
      <w:tr w:rsidR="00AC7188" w14:paraId="17DD09B9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585F01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Eixos Estratégicos</w:t>
            </w:r>
          </w:p>
        </w:tc>
        <w:tc>
          <w:tcPr>
            <w:tcW w:w="0" w:type="auto"/>
            <w:vAlign w:val="center"/>
            <w:hideMark/>
          </w:tcPr>
          <w:p w14:paraId="60416C93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  <w:hideMark/>
          </w:tcPr>
          <w:p w14:paraId="48EF1A9E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Resultados Esperados</w:t>
            </w:r>
          </w:p>
        </w:tc>
      </w:tr>
      <w:tr w:rsidR="00AC7188" w14:paraId="345C69AE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ACE62" w14:textId="77777777" w:rsidR="00AC7188" w:rsidRDefault="00AC7188">
            <w:r>
              <w:rPr>
                <w:rStyle w:val="Forte"/>
              </w:rPr>
              <w:t>Eixo 1 – Atuação Legislativa e Fiscalizadora</w:t>
            </w:r>
          </w:p>
        </w:tc>
        <w:tc>
          <w:tcPr>
            <w:tcW w:w="0" w:type="auto"/>
            <w:vAlign w:val="center"/>
            <w:hideMark/>
          </w:tcPr>
          <w:p w14:paraId="205C46B7" w14:textId="77777777" w:rsidR="00AC7188" w:rsidRDefault="00AC7188">
            <w:r>
              <w:t>Ampliar a produtividade legislativa e a qualidade do controle externo municipal.</w:t>
            </w:r>
          </w:p>
        </w:tc>
        <w:tc>
          <w:tcPr>
            <w:tcW w:w="0" w:type="auto"/>
            <w:vAlign w:val="center"/>
            <w:hideMark/>
          </w:tcPr>
          <w:p w14:paraId="0F11AE67" w14:textId="77777777" w:rsidR="00AC7188" w:rsidRDefault="00AC7188">
            <w:r>
              <w:t>Aumento do número de proposições e audiências públicas.</w:t>
            </w:r>
          </w:p>
        </w:tc>
      </w:tr>
      <w:tr w:rsidR="00AC7188" w14:paraId="5B59774F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EFDE5" w14:textId="77777777" w:rsidR="00AC7188" w:rsidRDefault="00AC7188">
            <w:r>
              <w:rPr>
                <w:rStyle w:val="Forte"/>
              </w:rPr>
              <w:t>Eixo 2 – Gestão Administrativa e Financeira</w:t>
            </w:r>
          </w:p>
        </w:tc>
        <w:tc>
          <w:tcPr>
            <w:tcW w:w="0" w:type="auto"/>
            <w:vAlign w:val="center"/>
            <w:hideMark/>
          </w:tcPr>
          <w:p w14:paraId="696F112E" w14:textId="77777777" w:rsidR="00AC7188" w:rsidRDefault="00AC7188">
            <w:r>
              <w:t>Promover a eficiência na aplicação dos recursos públicos e a transparência fiscal.</w:t>
            </w:r>
          </w:p>
        </w:tc>
        <w:tc>
          <w:tcPr>
            <w:tcW w:w="0" w:type="auto"/>
            <w:vAlign w:val="center"/>
            <w:hideMark/>
          </w:tcPr>
          <w:p w14:paraId="64F30D7E" w14:textId="77777777" w:rsidR="00AC7188" w:rsidRDefault="00AC7188">
            <w:r>
              <w:t>Execução orçamentária eficiente e dentro dos limites legais.</w:t>
            </w:r>
          </w:p>
        </w:tc>
      </w:tr>
      <w:tr w:rsidR="00AC7188" w14:paraId="3B05F728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2F80E" w14:textId="77777777" w:rsidR="00AC7188" w:rsidRDefault="00AC7188">
            <w:r>
              <w:rPr>
                <w:rStyle w:val="Forte"/>
              </w:rPr>
              <w:t>Eixo 3 – Desenvolvimento de Pessoas</w:t>
            </w:r>
          </w:p>
        </w:tc>
        <w:tc>
          <w:tcPr>
            <w:tcW w:w="0" w:type="auto"/>
            <w:vAlign w:val="center"/>
            <w:hideMark/>
          </w:tcPr>
          <w:p w14:paraId="2E32E935" w14:textId="77777777" w:rsidR="00AC7188" w:rsidRDefault="00AC7188">
            <w:r>
              <w:t>Capacitar continuamente os servidores e parlamentares.</w:t>
            </w:r>
          </w:p>
        </w:tc>
        <w:tc>
          <w:tcPr>
            <w:tcW w:w="0" w:type="auto"/>
            <w:vAlign w:val="center"/>
            <w:hideMark/>
          </w:tcPr>
          <w:p w14:paraId="722971F7" w14:textId="77777777" w:rsidR="00AC7188" w:rsidRDefault="00AC7188">
            <w:r>
              <w:t>Melhoria de desempenho e redução de falhas operacionais.</w:t>
            </w:r>
          </w:p>
        </w:tc>
      </w:tr>
      <w:tr w:rsidR="00AC7188" w14:paraId="59A33416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79F0E" w14:textId="77777777" w:rsidR="00AC7188" w:rsidRDefault="00AC7188">
            <w:r>
              <w:rPr>
                <w:rStyle w:val="Forte"/>
              </w:rPr>
              <w:t>Eixo 4 – Comunicação e Transparência</w:t>
            </w:r>
          </w:p>
        </w:tc>
        <w:tc>
          <w:tcPr>
            <w:tcW w:w="0" w:type="auto"/>
            <w:vAlign w:val="center"/>
            <w:hideMark/>
          </w:tcPr>
          <w:p w14:paraId="46CDE102" w14:textId="77777777" w:rsidR="00AC7188" w:rsidRDefault="00AC7188">
            <w:r>
              <w:t>Fortalecer a comunicação institucional e a participação popular.</w:t>
            </w:r>
          </w:p>
        </w:tc>
        <w:tc>
          <w:tcPr>
            <w:tcW w:w="0" w:type="auto"/>
            <w:vAlign w:val="center"/>
            <w:hideMark/>
          </w:tcPr>
          <w:p w14:paraId="633DEC68" w14:textId="77777777" w:rsidR="00AC7188" w:rsidRDefault="00AC7188">
            <w:r>
              <w:t>Portal da Transparência completo e aumento do engajamento público.</w:t>
            </w:r>
          </w:p>
        </w:tc>
      </w:tr>
      <w:tr w:rsidR="00AC7188" w14:paraId="0D76F535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215D1" w14:textId="77777777" w:rsidR="00AC7188" w:rsidRDefault="00AC7188">
            <w:r>
              <w:rPr>
                <w:rStyle w:val="Forte"/>
              </w:rPr>
              <w:t>Eixo 5 – Inovação e Tecnologia</w:t>
            </w:r>
          </w:p>
        </w:tc>
        <w:tc>
          <w:tcPr>
            <w:tcW w:w="0" w:type="auto"/>
            <w:vAlign w:val="center"/>
            <w:hideMark/>
          </w:tcPr>
          <w:p w14:paraId="01DBED5D" w14:textId="77777777" w:rsidR="00AC7188" w:rsidRDefault="00AC7188">
            <w:r>
              <w:t>Modernizar processos e implantar sistemas digitais.</w:t>
            </w:r>
          </w:p>
        </w:tc>
        <w:tc>
          <w:tcPr>
            <w:tcW w:w="0" w:type="auto"/>
            <w:vAlign w:val="center"/>
            <w:hideMark/>
          </w:tcPr>
          <w:p w14:paraId="6D2DB49E" w14:textId="77777777" w:rsidR="00AC7188" w:rsidRDefault="00AC7188">
            <w:r>
              <w:t>Câmara 100% digitalizada até 2027.</w:t>
            </w:r>
          </w:p>
        </w:tc>
      </w:tr>
    </w:tbl>
    <w:p w14:paraId="27A9BA90" w14:textId="68CFB422" w:rsidR="00AC7188" w:rsidRDefault="00AC7188" w:rsidP="00AC7188"/>
    <w:p w14:paraId="0D6B7A36" w14:textId="77777777" w:rsidR="00AC7188" w:rsidRDefault="00AC7188" w:rsidP="00AC7188"/>
    <w:p w14:paraId="5CA26D01" w14:textId="77777777" w:rsidR="00AC7188" w:rsidRDefault="00AC7188" w:rsidP="00AC7188"/>
    <w:p w14:paraId="59E4827D" w14:textId="77777777" w:rsidR="00AC7188" w:rsidRDefault="00AC7188" w:rsidP="00AC7188"/>
    <w:p w14:paraId="6B6AE36C" w14:textId="77777777" w:rsidR="00AC7188" w:rsidRDefault="00AC7188" w:rsidP="00AC7188"/>
    <w:p w14:paraId="3566E4A7" w14:textId="5B0BA542" w:rsidR="00AC7188" w:rsidRDefault="00AC7188" w:rsidP="00AC7188">
      <w:pPr>
        <w:pStyle w:val="Ttulo1"/>
        <w:spacing w:before="1"/>
        <w:ind w:left="4283" w:hanging="881"/>
        <w:rPr>
          <w:spacing w:val="-2"/>
        </w:rPr>
      </w:pPr>
      <w:r w:rsidRPr="00AC7188">
        <w:rPr>
          <w:spacing w:val="-2"/>
        </w:rPr>
        <w:lastRenderedPageBreak/>
        <w:t>Objetivos Estratégicos, Indicadores e Metas</w:t>
      </w:r>
    </w:p>
    <w:p w14:paraId="62B71C2A" w14:textId="77777777" w:rsidR="00AC7188" w:rsidRPr="00AC7188" w:rsidRDefault="00AC7188" w:rsidP="00AC7188">
      <w:pPr>
        <w:pStyle w:val="Ttulo1"/>
        <w:spacing w:before="1"/>
        <w:ind w:left="4283" w:hanging="881"/>
        <w:rPr>
          <w:spacing w:val="-2"/>
        </w:rPr>
      </w:pPr>
    </w:p>
    <w:p w14:paraId="475EB94D" w14:textId="77777777" w:rsidR="00AC7188" w:rsidRDefault="00AC7188" w:rsidP="00AC7188">
      <w:pPr>
        <w:pStyle w:val="Ttulo3"/>
      </w:pPr>
      <w:r>
        <w:rPr>
          <w:rStyle w:val="Forte"/>
          <w:b/>
          <w:bCs/>
        </w:rPr>
        <w:t>Eixo 1 – Atuação Legislativa e Fiscalizadora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2683"/>
        <w:gridCol w:w="2764"/>
        <w:gridCol w:w="988"/>
      </w:tblGrid>
      <w:tr w:rsidR="00AC7188" w14:paraId="4885435E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F7A8A0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130CB9F3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6A465F1D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28BBD273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Prazo</w:t>
            </w:r>
          </w:p>
        </w:tc>
      </w:tr>
      <w:tr w:rsidR="00AC7188" w14:paraId="6FD8FA8C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652D4" w14:textId="77777777" w:rsidR="00AC7188" w:rsidRDefault="00AC7188">
            <w:r>
              <w:t>Aumentar a produção legislativa de qualidade</w:t>
            </w:r>
          </w:p>
        </w:tc>
        <w:tc>
          <w:tcPr>
            <w:tcW w:w="0" w:type="auto"/>
            <w:vAlign w:val="center"/>
            <w:hideMark/>
          </w:tcPr>
          <w:p w14:paraId="45545526" w14:textId="77777777" w:rsidR="00AC7188" w:rsidRDefault="00AC7188">
            <w:r>
              <w:t>Nº de projetos de lei aprovados</w:t>
            </w:r>
          </w:p>
        </w:tc>
        <w:tc>
          <w:tcPr>
            <w:tcW w:w="0" w:type="auto"/>
            <w:vAlign w:val="center"/>
            <w:hideMark/>
          </w:tcPr>
          <w:p w14:paraId="4F536D3E" w14:textId="77777777" w:rsidR="00AC7188" w:rsidRDefault="00AC7188">
            <w:r>
              <w:t>2024: 25 / 2025: 30 / 2026: 35 / 2027: 40</w:t>
            </w:r>
          </w:p>
        </w:tc>
        <w:tc>
          <w:tcPr>
            <w:tcW w:w="0" w:type="auto"/>
            <w:vAlign w:val="center"/>
            <w:hideMark/>
          </w:tcPr>
          <w:p w14:paraId="4E92C694" w14:textId="77777777" w:rsidR="00AC7188" w:rsidRDefault="00AC7188">
            <w:r>
              <w:t>Anual</w:t>
            </w:r>
          </w:p>
        </w:tc>
      </w:tr>
      <w:tr w:rsidR="00AC7188" w14:paraId="2092D338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0C471" w14:textId="77777777" w:rsidR="00AC7188" w:rsidRDefault="00AC7188">
            <w:r>
              <w:t>Fortalecer a função fiscalizadora</w:t>
            </w:r>
          </w:p>
        </w:tc>
        <w:tc>
          <w:tcPr>
            <w:tcW w:w="0" w:type="auto"/>
            <w:vAlign w:val="center"/>
            <w:hideMark/>
          </w:tcPr>
          <w:p w14:paraId="084D1F5C" w14:textId="77777777" w:rsidR="00AC7188" w:rsidRDefault="00AC7188">
            <w:r>
              <w:t>Nº de audiências públicas realizadas</w:t>
            </w:r>
          </w:p>
        </w:tc>
        <w:tc>
          <w:tcPr>
            <w:tcW w:w="0" w:type="auto"/>
            <w:vAlign w:val="center"/>
            <w:hideMark/>
          </w:tcPr>
          <w:p w14:paraId="11B8CD17" w14:textId="77777777" w:rsidR="00AC7188" w:rsidRDefault="00AC7188">
            <w:r>
              <w:t>2024: 5 / 2025: 6 / 2026: 7 / 2027: 8</w:t>
            </w:r>
          </w:p>
        </w:tc>
        <w:tc>
          <w:tcPr>
            <w:tcW w:w="0" w:type="auto"/>
            <w:vAlign w:val="center"/>
            <w:hideMark/>
          </w:tcPr>
          <w:p w14:paraId="79A09576" w14:textId="77777777" w:rsidR="00AC7188" w:rsidRDefault="00AC7188">
            <w:r>
              <w:t>Anual</w:t>
            </w:r>
          </w:p>
        </w:tc>
      </w:tr>
      <w:tr w:rsidR="00AC7188" w14:paraId="3BBA7F0E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DCEDB" w14:textId="77777777" w:rsidR="00AC7188" w:rsidRDefault="00AC7188">
            <w:r>
              <w:t>Acompanhar a execução orçamentária municipal</w:t>
            </w:r>
          </w:p>
        </w:tc>
        <w:tc>
          <w:tcPr>
            <w:tcW w:w="0" w:type="auto"/>
            <w:vAlign w:val="center"/>
            <w:hideMark/>
          </w:tcPr>
          <w:p w14:paraId="7BB57448" w14:textId="77777777" w:rsidR="00AC7188" w:rsidRDefault="00AC7188">
            <w:r>
              <w:t>Nº de relatórios de fiscalização analisados</w:t>
            </w:r>
          </w:p>
        </w:tc>
        <w:tc>
          <w:tcPr>
            <w:tcW w:w="0" w:type="auto"/>
            <w:vAlign w:val="center"/>
            <w:hideMark/>
          </w:tcPr>
          <w:p w14:paraId="7B3AEE5B" w14:textId="77777777" w:rsidR="00AC7188" w:rsidRDefault="00AC7188">
            <w:r>
              <w:t>100% dos quadrimestrais</w:t>
            </w:r>
          </w:p>
        </w:tc>
        <w:tc>
          <w:tcPr>
            <w:tcW w:w="0" w:type="auto"/>
            <w:vAlign w:val="center"/>
            <w:hideMark/>
          </w:tcPr>
          <w:p w14:paraId="1ED7112C" w14:textId="77777777" w:rsidR="00AC7188" w:rsidRDefault="00AC7188">
            <w:r>
              <w:t>Contínuo</w:t>
            </w:r>
          </w:p>
        </w:tc>
      </w:tr>
    </w:tbl>
    <w:p w14:paraId="7CA90D28" w14:textId="25C0567E" w:rsidR="00AC7188" w:rsidRDefault="00AC7188" w:rsidP="00AC7188"/>
    <w:p w14:paraId="7C6AA5E6" w14:textId="77777777" w:rsidR="00AC7188" w:rsidRDefault="00AC7188" w:rsidP="00AC7188">
      <w:pPr>
        <w:pStyle w:val="Ttulo3"/>
      </w:pPr>
      <w:r>
        <w:rPr>
          <w:rStyle w:val="Forte"/>
          <w:b/>
          <w:bCs/>
        </w:rPr>
        <w:t>Eixo 2 – Gestão Administrativa e Financeira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2964"/>
        <w:gridCol w:w="3180"/>
        <w:gridCol w:w="988"/>
      </w:tblGrid>
      <w:tr w:rsidR="00AC7188" w14:paraId="43B911E4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B57D3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0B150974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41186BC6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60EB7374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Prazo</w:t>
            </w:r>
          </w:p>
        </w:tc>
      </w:tr>
      <w:tr w:rsidR="00AC7188" w14:paraId="76EEEDB3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02F1F" w14:textId="77777777" w:rsidR="00AC7188" w:rsidRDefault="00AC7188">
            <w:r>
              <w:t>Manter equilíbrio orçamentário</w:t>
            </w:r>
          </w:p>
        </w:tc>
        <w:tc>
          <w:tcPr>
            <w:tcW w:w="0" w:type="auto"/>
            <w:vAlign w:val="center"/>
            <w:hideMark/>
          </w:tcPr>
          <w:p w14:paraId="724C8330" w14:textId="77777777" w:rsidR="00AC7188" w:rsidRDefault="00AC7188">
            <w:r>
              <w:t>% de execução orçamentária</w:t>
            </w:r>
          </w:p>
        </w:tc>
        <w:tc>
          <w:tcPr>
            <w:tcW w:w="0" w:type="auto"/>
            <w:vAlign w:val="center"/>
            <w:hideMark/>
          </w:tcPr>
          <w:p w14:paraId="7C51BADA" w14:textId="77777777" w:rsidR="00AC7188" w:rsidRDefault="00AC7188">
            <w:r>
              <w:t>2024: 90% / 2025: 92% / 2026: 93% / 2027: 95%</w:t>
            </w:r>
          </w:p>
        </w:tc>
        <w:tc>
          <w:tcPr>
            <w:tcW w:w="0" w:type="auto"/>
            <w:vAlign w:val="center"/>
            <w:hideMark/>
          </w:tcPr>
          <w:p w14:paraId="667A251E" w14:textId="77777777" w:rsidR="00AC7188" w:rsidRDefault="00AC7188">
            <w:r>
              <w:t>Anual</w:t>
            </w:r>
          </w:p>
        </w:tc>
      </w:tr>
      <w:tr w:rsidR="00AC7188" w14:paraId="2FC6F812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1EB41" w14:textId="77777777" w:rsidR="00AC7188" w:rsidRDefault="00AC7188">
            <w:r>
              <w:t>Garantir transparência fiscal</w:t>
            </w:r>
          </w:p>
        </w:tc>
        <w:tc>
          <w:tcPr>
            <w:tcW w:w="0" w:type="auto"/>
            <w:vAlign w:val="center"/>
            <w:hideMark/>
          </w:tcPr>
          <w:p w14:paraId="7B4B06C9" w14:textId="77777777" w:rsidR="00AC7188" w:rsidRDefault="00AC7188">
            <w:r>
              <w:t>% de informações atualizadas no portal</w:t>
            </w:r>
          </w:p>
        </w:tc>
        <w:tc>
          <w:tcPr>
            <w:tcW w:w="0" w:type="auto"/>
            <w:vAlign w:val="center"/>
            <w:hideMark/>
          </w:tcPr>
          <w:p w14:paraId="085035A0" w14:textId="77777777" w:rsidR="00AC7188" w:rsidRDefault="00AC7188">
            <w:r>
              <w:t>100% de atualização mensal</w:t>
            </w:r>
          </w:p>
        </w:tc>
        <w:tc>
          <w:tcPr>
            <w:tcW w:w="0" w:type="auto"/>
            <w:vAlign w:val="center"/>
            <w:hideMark/>
          </w:tcPr>
          <w:p w14:paraId="0825DE1F" w14:textId="77777777" w:rsidR="00AC7188" w:rsidRDefault="00AC7188">
            <w:r>
              <w:t>Contínuo</w:t>
            </w:r>
          </w:p>
        </w:tc>
      </w:tr>
      <w:tr w:rsidR="00AC7188" w14:paraId="3191534E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795D7" w14:textId="77777777" w:rsidR="00AC7188" w:rsidRDefault="00AC7188">
            <w:r>
              <w:t>Reduzir custos administrativos</w:t>
            </w:r>
          </w:p>
        </w:tc>
        <w:tc>
          <w:tcPr>
            <w:tcW w:w="0" w:type="auto"/>
            <w:vAlign w:val="center"/>
            <w:hideMark/>
          </w:tcPr>
          <w:p w14:paraId="2CAC4800" w14:textId="77777777" w:rsidR="00AC7188" w:rsidRDefault="00AC7188">
            <w:r>
              <w:t>% de economia sobre o orçamento anterior</w:t>
            </w:r>
          </w:p>
        </w:tc>
        <w:tc>
          <w:tcPr>
            <w:tcW w:w="0" w:type="auto"/>
            <w:vAlign w:val="center"/>
            <w:hideMark/>
          </w:tcPr>
          <w:p w14:paraId="6852FB3E" w14:textId="77777777" w:rsidR="00AC7188" w:rsidRDefault="00AC7188">
            <w:r>
              <w:t>Redução de 5% ao ano</w:t>
            </w:r>
          </w:p>
        </w:tc>
        <w:tc>
          <w:tcPr>
            <w:tcW w:w="0" w:type="auto"/>
            <w:vAlign w:val="center"/>
            <w:hideMark/>
          </w:tcPr>
          <w:p w14:paraId="527D7228" w14:textId="77777777" w:rsidR="00AC7188" w:rsidRDefault="00AC7188">
            <w:r>
              <w:t>Anual</w:t>
            </w:r>
          </w:p>
        </w:tc>
      </w:tr>
    </w:tbl>
    <w:p w14:paraId="2F35AAF5" w14:textId="5EC2F471" w:rsidR="00AC7188" w:rsidRDefault="00AC7188" w:rsidP="00AC7188"/>
    <w:p w14:paraId="38EC47C1" w14:textId="77777777" w:rsidR="00AC7188" w:rsidRDefault="00AC7188" w:rsidP="00AC7188">
      <w:pPr>
        <w:pStyle w:val="Ttulo3"/>
      </w:pPr>
      <w:r>
        <w:rPr>
          <w:rStyle w:val="Forte"/>
          <w:b/>
          <w:bCs/>
        </w:rPr>
        <w:t>Eixo 3 – Desenvolvimento de Pessoas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2653"/>
        <w:gridCol w:w="3146"/>
        <w:gridCol w:w="695"/>
      </w:tblGrid>
      <w:tr w:rsidR="00AC7188" w14:paraId="68AC98D1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898D48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46FDD8A6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136D3BD0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609C566E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Prazo</w:t>
            </w:r>
          </w:p>
        </w:tc>
      </w:tr>
      <w:tr w:rsidR="00AC7188" w14:paraId="76C4D885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F887B" w14:textId="77777777" w:rsidR="00AC7188" w:rsidRDefault="00AC7188">
            <w:r>
              <w:t>Promover capacitações contínuas</w:t>
            </w:r>
          </w:p>
        </w:tc>
        <w:tc>
          <w:tcPr>
            <w:tcW w:w="0" w:type="auto"/>
            <w:vAlign w:val="center"/>
            <w:hideMark/>
          </w:tcPr>
          <w:p w14:paraId="11D3A882" w14:textId="77777777" w:rsidR="00AC7188" w:rsidRDefault="00AC7188">
            <w:r>
              <w:t>Nº de servidores capacitados</w:t>
            </w:r>
          </w:p>
        </w:tc>
        <w:tc>
          <w:tcPr>
            <w:tcW w:w="0" w:type="auto"/>
            <w:vAlign w:val="center"/>
            <w:hideMark/>
          </w:tcPr>
          <w:p w14:paraId="7FF44430" w14:textId="77777777" w:rsidR="00AC7188" w:rsidRDefault="00AC7188">
            <w:r>
              <w:t>2024: 15 / 2025: 20 / 2026: 25 / 2027: 30</w:t>
            </w:r>
          </w:p>
        </w:tc>
        <w:tc>
          <w:tcPr>
            <w:tcW w:w="0" w:type="auto"/>
            <w:vAlign w:val="center"/>
            <w:hideMark/>
          </w:tcPr>
          <w:p w14:paraId="58E8D1C8" w14:textId="77777777" w:rsidR="00AC7188" w:rsidRDefault="00AC7188">
            <w:r>
              <w:t>Anual</w:t>
            </w:r>
          </w:p>
        </w:tc>
      </w:tr>
      <w:tr w:rsidR="00AC7188" w14:paraId="19263639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3519C" w14:textId="77777777" w:rsidR="00AC7188" w:rsidRDefault="00AC7188">
            <w:r>
              <w:t>Melhorar a satisfação interna</w:t>
            </w:r>
          </w:p>
        </w:tc>
        <w:tc>
          <w:tcPr>
            <w:tcW w:w="0" w:type="auto"/>
            <w:vAlign w:val="center"/>
            <w:hideMark/>
          </w:tcPr>
          <w:p w14:paraId="124ED213" w14:textId="77777777" w:rsidR="00AC7188" w:rsidRDefault="00AC7188">
            <w:r>
              <w:t>Índice de satisfação do servidor</w:t>
            </w:r>
          </w:p>
        </w:tc>
        <w:tc>
          <w:tcPr>
            <w:tcW w:w="0" w:type="auto"/>
            <w:vAlign w:val="center"/>
            <w:hideMark/>
          </w:tcPr>
          <w:p w14:paraId="74DDD4E0" w14:textId="77777777" w:rsidR="00AC7188" w:rsidRDefault="00AC7188">
            <w:r>
              <w:t>Atingir 80% até 2027</w:t>
            </w:r>
          </w:p>
        </w:tc>
        <w:tc>
          <w:tcPr>
            <w:tcW w:w="0" w:type="auto"/>
            <w:vAlign w:val="center"/>
            <w:hideMark/>
          </w:tcPr>
          <w:p w14:paraId="7D3C9B7E" w14:textId="77777777" w:rsidR="00AC7188" w:rsidRDefault="00AC7188">
            <w:r>
              <w:t>2027</w:t>
            </w:r>
          </w:p>
        </w:tc>
      </w:tr>
      <w:tr w:rsidR="00AC7188" w14:paraId="48320745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AEF83" w14:textId="77777777" w:rsidR="00AC7188" w:rsidRDefault="00AC7188">
            <w:r>
              <w:t>Implantar avaliação de desempenho</w:t>
            </w:r>
          </w:p>
        </w:tc>
        <w:tc>
          <w:tcPr>
            <w:tcW w:w="0" w:type="auto"/>
            <w:vAlign w:val="center"/>
            <w:hideMark/>
          </w:tcPr>
          <w:p w14:paraId="5AC36761" w14:textId="77777777" w:rsidR="00AC7188" w:rsidRDefault="00AC7188">
            <w:r>
              <w:t>% de servidores avaliados</w:t>
            </w:r>
          </w:p>
        </w:tc>
        <w:tc>
          <w:tcPr>
            <w:tcW w:w="0" w:type="auto"/>
            <w:vAlign w:val="center"/>
            <w:hideMark/>
          </w:tcPr>
          <w:p w14:paraId="1561D892" w14:textId="77777777" w:rsidR="00AC7188" w:rsidRDefault="00AC7188">
            <w:r>
              <w:t>100% até 2026</w:t>
            </w:r>
          </w:p>
        </w:tc>
        <w:tc>
          <w:tcPr>
            <w:tcW w:w="0" w:type="auto"/>
            <w:vAlign w:val="center"/>
            <w:hideMark/>
          </w:tcPr>
          <w:p w14:paraId="65BE14D4" w14:textId="77777777" w:rsidR="00AC7188" w:rsidRDefault="00AC7188">
            <w:r>
              <w:t>2026</w:t>
            </w:r>
          </w:p>
        </w:tc>
      </w:tr>
    </w:tbl>
    <w:p w14:paraId="424DBE61" w14:textId="782876A1" w:rsidR="00AC7188" w:rsidRDefault="00AC7188" w:rsidP="00AC7188"/>
    <w:p w14:paraId="3B8D60B0" w14:textId="77777777" w:rsidR="00AC7188" w:rsidRDefault="00AC7188" w:rsidP="00AC7188">
      <w:pPr>
        <w:pStyle w:val="Ttulo3"/>
      </w:pPr>
      <w:r>
        <w:rPr>
          <w:rStyle w:val="Forte"/>
          <w:b/>
          <w:bCs/>
        </w:rPr>
        <w:t>Eixo 4 – Comunicação e Transparência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2753"/>
        <w:gridCol w:w="2595"/>
        <w:gridCol w:w="695"/>
      </w:tblGrid>
      <w:tr w:rsidR="00AC7188" w14:paraId="2B4BA700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C3046C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098D7DD4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1420D249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4A2FEAB3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Prazo</w:t>
            </w:r>
          </w:p>
        </w:tc>
      </w:tr>
      <w:tr w:rsidR="00AC7188" w14:paraId="0DCA6F5B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279E7" w14:textId="77777777" w:rsidR="00AC7188" w:rsidRDefault="00AC7188">
            <w:r>
              <w:t>Ampliar o alcance da comunicação institucional</w:t>
            </w:r>
          </w:p>
        </w:tc>
        <w:tc>
          <w:tcPr>
            <w:tcW w:w="0" w:type="auto"/>
            <w:vAlign w:val="center"/>
            <w:hideMark/>
          </w:tcPr>
          <w:p w14:paraId="471B50A9" w14:textId="77777777" w:rsidR="00AC7188" w:rsidRDefault="00AC7188">
            <w:r>
              <w:t>Nº de acessos ao site e redes sociais</w:t>
            </w:r>
          </w:p>
        </w:tc>
        <w:tc>
          <w:tcPr>
            <w:tcW w:w="0" w:type="auto"/>
            <w:vAlign w:val="center"/>
            <w:hideMark/>
          </w:tcPr>
          <w:p w14:paraId="7DF230A4" w14:textId="77777777" w:rsidR="00AC7188" w:rsidRDefault="00AC7188">
            <w:r>
              <w:t>Aumento de 25% ao ano</w:t>
            </w:r>
          </w:p>
        </w:tc>
        <w:tc>
          <w:tcPr>
            <w:tcW w:w="0" w:type="auto"/>
            <w:vAlign w:val="center"/>
            <w:hideMark/>
          </w:tcPr>
          <w:p w14:paraId="4F410E32" w14:textId="77777777" w:rsidR="00AC7188" w:rsidRDefault="00AC7188">
            <w:r>
              <w:t>Anual</w:t>
            </w:r>
          </w:p>
        </w:tc>
      </w:tr>
      <w:tr w:rsidR="00AC7188" w14:paraId="676B3C3F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EABB5" w14:textId="77777777" w:rsidR="00AC7188" w:rsidRDefault="00AC7188">
            <w:r>
              <w:t>Implementar canais de participação cidadã</w:t>
            </w:r>
          </w:p>
        </w:tc>
        <w:tc>
          <w:tcPr>
            <w:tcW w:w="0" w:type="auto"/>
            <w:vAlign w:val="center"/>
            <w:hideMark/>
          </w:tcPr>
          <w:p w14:paraId="75AE1AB0" w14:textId="77777777" w:rsidR="00AC7188" w:rsidRDefault="00AC7188">
            <w:r>
              <w:t>Nº de consultas públicas realizadas</w:t>
            </w:r>
          </w:p>
        </w:tc>
        <w:tc>
          <w:tcPr>
            <w:tcW w:w="0" w:type="auto"/>
            <w:vAlign w:val="center"/>
            <w:hideMark/>
          </w:tcPr>
          <w:p w14:paraId="3342CD45" w14:textId="77777777" w:rsidR="00AC7188" w:rsidRDefault="00AC7188">
            <w:r>
              <w:t>2024: 2 / 2025: 3 / 2026: 4 / 2027: 5</w:t>
            </w:r>
          </w:p>
        </w:tc>
        <w:tc>
          <w:tcPr>
            <w:tcW w:w="0" w:type="auto"/>
            <w:vAlign w:val="center"/>
            <w:hideMark/>
          </w:tcPr>
          <w:p w14:paraId="24C9A928" w14:textId="77777777" w:rsidR="00AC7188" w:rsidRDefault="00AC7188">
            <w:r>
              <w:t>Anual</w:t>
            </w:r>
          </w:p>
        </w:tc>
      </w:tr>
      <w:tr w:rsidR="00AC7188" w14:paraId="74499E5B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31920" w14:textId="77777777" w:rsidR="00AC7188" w:rsidRDefault="00AC7188">
            <w:r>
              <w:t>Melhorar a imagem institucional</w:t>
            </w:r>
          </w:p>
        </w:tc>
        <w:tc>
          <w:tcPr>
            <w:tcW w:w="0" w:type="auto"/>
            <w:vAlign w:val="center"/>
            <w:hideMark/>
          </w:tcPr>
          <w:p w14:paraId="6417AB1A" w14:textId="77777777" w:rsidR="00AC7188" w:rsidRDefault="00AC7188">
            <w:r>
              <w:t xml:space="preserve">Índice de </w:t>
            </w:r>
            <w:proofErr w:type="spellStart"/>
            <w:r>
              <w:t>percepção</w:t>
            </w:r>
            <w:proofErr w:type="spellEnd"/>
            <w:r>
              <w:t xml:space="preserve"> positiva</w:t>
            </w:r>
          </w:p>
        </w:tc>
        <w:tc>
          <w:tcPr>
            <w:tcW w:w="0" w:type="auto"/>
            <w:vAlign w:val="center"/>
            <w:hideMark/>
          </w:tcPr>
          <w:p w14:paraId="7B0BF369" w14:textId="77777777" w:rsidR="00AC7188" w:rsidRDefault="00AC7188">
            <w:r>
              <w:t>70% até 2027</w:t>
            </w:r>
          </w:p>
        </w:tc>
        <w:tc>
          <w:tcPr>
            <w:tcW w:w="0" w:type="auto"/>
            <w:vAlign w:val="center"/>
            <w:hideMark/>
          </w:tcPr>
          <w:p w14:paraId="148603B9" w14:textId="77777777" w:rsidR="00AC7188" w:rsidRDefault="00AC7188">
            <w:r>
              <w:t>2027</w:t>
            </w:r>
          </w:p>
        </w:tc>
      </w:tr>
    </w:tbl>
    <w:p w14:paraId="474CF435" w14:textId="435BE7B0" w:rsidR="00AC7188" w:rsidRDefault="00AC7188" w:rsidP="00AC7188"/>
    <w:p w14:paraId="6E41655A" w14:textId="77777777" w:rsidR="00AC7188" w:rsidRDefault="00AC7188" w:rsidP="00AC7188">
      <w:pPr>
        <w:pStyle w:val="Ttulo3"/>
      </w:pPr>
      <w:r>
        <w:rPr>
          <w:rStyle w:val="Forte"/>
          <w:b/>
          <w:bCs/>
        </w:rPr>
        <w:t>Eixo 5 – Inovação e Tecnologia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009"/>
        <w:gridCol w:w="2410"/>
        <w:gridCol w:w="988"/>
      </w:tblGrid>
      <w:tr w:rsidR="00AC7188" w14:paraId="53E77463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DA0E34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115FB8EF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0466CB6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Anual</w:t>
            </w:r>
          </w:p>
        </w:tc>
        <w:tc>
          <w:tcPr>
            <w:tcW w:w="0" w:type="auto"/>
            <w:vAlign w:val="center"/>
            <w:hideMark/>
          </w:tcPr>
          <w:p w14:paraId="48C54B52" w14:textId="77777777" w:rsidR="00AC7188" w:rsidRDefault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Prazo</w:t>
            </w:r>
          </w:p>
        </w:tc>
      </w:tr>
      <w:tr w:rsidR="00AC7188" w14:paraId="681A70E1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8CD82" w14:textId="77777777" w:rsidR="00AC7188" w:rsidRDefault="00AC7188">
            <w:r>
              <w:t>Digitalizar processos internos</w:t>
            </w:r>
          </w:p>
        </w:tc>
        <w:tc>
          <w:tcPr>
            <w:tcW w:w="0" w:type="auto"/>
            <w:vAlign w:val="center"/>
            <w:hideMark/>
          </w:tcPr>
          <w:p w14:paraId="5CA0E25F" w14:textId="77777777" w:rsidR="00AC7188" w:rsidRDefault="00AC7188">
            <w:r>
              <w:t>% de processos tramitando de forma eletrônica</w:t>
            </w:r>
          </w:p>
        </w:tc>
        <w:tc>
          <w:tcPr>
            <w:tcW w:w="0" w:type="auto"/>
            <w:vAlign w:val="center"/>
            <w:hideMark/>
          </w:tcPr>
          <w:p w14:paraId="231930CD" w14:textId="77777777" w:rsidR="00AC7188" w:rsidRDefault="00AC7188">
            <w:r>
              <w:t>2024: 60% / 2025: 80% / 2026: 100%</w:t>
            </w:r>
          </w:p>
        </w:tc>
        <w:tc>
          <w:tcPr>
            <w:tcW w:w="0" w:type="auto"/>
            <w:vAlign w:val="center"/>
            <w:hideMark/>
          </w:tcPr>
          <w:p w14:paraId="1871FD98" w14:textId="77777777" w:rsidR="00AC7188" w:rsidRDefault="00AC7188">
            <w:r>
              <w:t>2026</w:t>
            </w:r>
          </w:p>
        </w:tc>
      </w:tr>
      <w:tr w:rsidR="00AC7188" w14:paraId="5A4AF853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95E93" w14:textId="77777777" w:rsidR="00AC7188" w:rsidRDefault="00AC7188">
            <w:r>
              <w:t>Implantar sistema integrado de gestão legislativa</w:t>
            </w:r>
          </w:p>
        </w:tc>
        <w:tc>
          <w:tcPr>
            <w:tcW w:w="0" w:type="auto"/>
            <w:vAlign w:val="center"/>
            <w:hideMark/>
          </w:tcPr>
          <w:p w14:paraId="3A5E0A64" w14:textId="77777777" w:rsidR="00AC7188" w:rsidRDefault="00AC7188">
            <w:r>
              <w:t>Sistema implantado</w:t>
            </w:r>
          </w:p>
        </w:tc>
        <w:tc>
          <w:tcPr>
            <w:tcW w:w="0" w:type="auto"/>
            <w:vAlign w:val="center"/>
            <w:hideMark/>
          </w:tcPr>
          <w:p w14:paraId="44C161C3" w14:textId="77777777" w:rsidR="00AC7188" w:rsidRDefault="00AC7188">
            <w:r>
              <w:t>100% até 2025</w:t>
            </w:r>
          </w:p>
        </w:tc>
        <w:tc>
          <w:tcPr>
            <w:tcW w:w="0" w:type="auto"/>
            <w:vAlign w:val="center"/>
            <w:hideMark/>
          </w:tcPr>
          <w:p w14:paraId="49D061F6" w14:textId="77777777" w:rsidR="00AC7188" w:rsidRDefault="00AC7188">
            <w:r>
              <w:t>2025</w:t>
            </w:r>
          </w:p>
        </w:tc>
      </w:tr>
      <w:tr w:rsidR="00AC7188" w14:paraId="7F1835CB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57FD1" w14:textId="77777777" w:rsidR="00AC7188" w:rsidRDefault="00AC7188">
            <w:r>
              <w:t>Assegurar segurança da informação</w:t>
            </w:r>
          </w:p>
        </w:tc>
        <w:tc>
          <w:tcPr>
            <w:tcW w:w="0" w:type="auto"/>
            <w:vAlign w:val="center"/>
            <w:hideMark/>
          </w:tcPr>
          <w:p w14:paraId="7EA52B78" w14:textId="77777777" w:rsidR="00AC7188" w:rsidRDefault="00AC7188">
            <w:r>
              <w:t>Nº de incidentes de TI reportados</w:t>
            </w:r>
          </w:p>
        </w:tc>
        <w:tc>
          <w:tcPr>
            <w:tcW w:w="0" w:type="auto"/>
            <w:vAlign w:val="center"/>
            <w:hideMark/>
          </w:tcPr>
          <w:p w14:paraId="2181A3CA" w14:textId="77777777" w:rsidR="00AC7188" w:rsidRDefault="00AC7188">
            <w:r>
              <w:t>Zero incidente anual</w:t>
            </w:r>
          </w:p>
        </w:tc>
        <w:tc>
          <w:tcPr>
            <w:tcW w:w="0" w:type="auto"/>
            <w:vAlign w:val="center"/>
            <w:hideMark/>
          </w:tcPr>
          <w:p w14:paraId="05754657" w14:textId="77777777" w:rsidR="00AC7188" w:rsidRDefault="00AC7188">
            <w:r>
              <w:t>Contínuo</w:t>
            </w:r>
          </w:p>
        </w:tc>
      </w:tr>
    </w:tbl>
    <w:p w14:paraId="5ED4A3CE" w14:textId="37D425AD" w:rsidR="00AC7188" w:rsidRDefault="00AC7188" w:rsidP="00AC7188"/>
    <w:p w14:paraId="2E2D3952" w14:textId="77777777" w:rsidR="00AC7188" w:rsidRDefault="00AC7188" w:rsidP="00AC7188">
      <w:pPr>
        <w:pStyle w:val="Ttulo1"/>
        <w:spacing w:before="1"/>
        <w:ind w:left="4283" w:hanging="881"/>
        <w:rPr>
          <w:spacing w:val="-2"/>
        </w:rPr>
      </w:pPr>
    </w:p>
    <w:p w14:paraId="1E9D07CE" w14:textId="1EC607FD" w:rsidR="00AC7188" w:rsidRDefault="00AC7188" w:rsidP="00AC7188">
      <w:pPr>
        <w:pStyle w:val="Ttulo1"/>
        <w:spacing w:before="1"/>
        <w:ind w:left="4283" w:hanging="881"/>
        <w:rPr>
          <w:spacing w:val="-2"/>
        </w:rPr>
      </w:pPr>
      <w:r w:rsidRPr="00AC7188">
        <w:rPr>
          <w:spacing w:val="-2"/>
        </w:rPr>
        <w:lastRenderedPageBreak/>
        <w:t>Monitoramento e Avaliação</w:t>
      </w:r>
    </w:p>
    <w:p w14:paraId="6EAD4051" w14:textId="77777777" w:rsidR="00AC7188" w:rsidRPr="00AC7188" w:rsidRDefault="00AC7188" w:rsidP="00AC7188">
      <w:pPr>
        <w:pStyle w:val="Ttulo1"/>
        <w:spacing w:before="1"/>
        <w:ind w:left="4283" w:hanging="881"/>
        <w:rPr>
          <w:spacing w:val="-2"/>
        </w:rPr>
      </w:pPr>
    </w:p>
    <w:p w14:paraId="094127E1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  <w:r>
        <w:t xml:space="preserve">O acompanhamento e a avaliação do Plano Estratégico serão realizados pela </w:t>
      </w:r>
      <w:r w:rsidRPr="00AC7188">
        <w:rPr>
          <w:b/>
          <w:bCs/>
        </w:rPr>
        <w:t>Controladoria Interna</w:t>
      </w:r>
      <w:r>
        <w:t xml:space="preserve">, com apoio da </w:t>
      </w:r>
      <w:r w:rsidRPr="00AC7188">
        <w:rPr>
          <w:b/>
          <w:bCs/>
        </w:rPr>
        <w:t>Mesa Diretora</w:t>
      </w:r>
      <w:r>
        <w:t xml:space="preserve"> e das unidades administrativas.</w:t>
      </w:r>
      <w:r>
        <w:br/>
        <w:t xml:space="preserve">A execução será monitorada </w:t>
      </w:r>
      <w:r w:rsidRPr="00AC7188">
        <w:rPr>
          <w:b/>
          <w:bCs/>
        </w:rPr>
        <w:t>semestralmente</w:t>
      </w:r>
      <w:r>
        <w:t xml:space="preserve">, por meio de </w:t>
      </w:r>
      <w:r w:rsidRPr="00AC7188">
        <w:rPr>
          <w:b/>
          <w:bCs/>
        </w:rPr>
        <w:t>relatórios de desempenho e indicadores de cumprimento de metas</w:t>
      </w:r>
      <w:r>
        <w:t>.</w:t>
      </w:r>
    </w:p>
    <w:p w14:paraId="600B182F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</w:p>
    <w:tbl>
      <w:tblPr>
        <w:tblpPr w:leftFromText="141" w:rightFromText="141" w:vertAnchor="text" w:horzAnchor="margin" w:tblpXSpec="center" w:tblpY="-24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795"/>
        <w:gridCol w:w="5146"/>
      </w:tblGrid>
      <w:tr w:rsidR="00AC7188" w14:paraId="1EA5FC2E" w14:textId="77777777" w:rsidTr="00AC71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E0D71" w14:textId="77777777" w:rsidR="00AC7188" w:rsidRDefault="00AC7188" w:rsidP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0F06AA21" w14:textId="77777777" w:rsidR="00AC7188" w:rsidRDefault="00AC7188" w:rsidP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0DB9740E" w14:textId="77777777" w:rsidR="00AC7188" w:rsidRDefault="00AC7188" w:rsidP="00AC7188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Produto</w:t>
            </w:r>
          </w:p>
        </w:tc>
      </w:tr>
      <w:tr w:rsidR="00AC7188" w14:paraId="46FA0A88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821F0" w14:textId="77777777" w:rsidR="00AC7188" w:rsidRDefault="00AC7188" w:rsidP="00AC7188">
            <w:r>
              <w:t>Semestral</w:t>
            </w:r>
          </w:p>
        </w:tc>
        <w:tc>
          <w:tcPr>
            <w:tcW w:w="0" w:type="auto"/>
            <w:vAlign w:val="center"/>
            <w:hideMark/>
          </w:tcPr>
          <w:p w14:paraId="78CADAFC" w14:textId="77777777" w:rsidR="00AC7188" w:rsidRDefault="00AC7188" w:rsidP="00AC7188">
            <w:r>
              <w:t>Controladoria Interna</w:t>
            </w:r>
          </w:p>
        </w:tc>
        <w:tc>
          <w:tcPr>
            <w:tcW w:w="0" w:type="auto"/>
            <w:vAlign w:val="center"/>
            <w:hideMark/>
          </w:tcPr>
          <w:p w14:paraId="193FFDD8" w14:textId="77777777" w:rsidR="00AC7188" w:rsidRDefault="00AC7188" w:rsidP="00AC7188">
            <w:r>
              <w:t>Relatório de Acompanhamento Estratégico</w:t>
            </w:r>
          </w:p>
        </w:tc>
      </w:tr>
      <w:tr w:rsidR="00AC7188" w14:paraId="10509486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2CCB1" w14:textId="77777777" w:rsidR="00AC7188" w:rsidRDefault="00AC7188" w:rsidP="00AC7188">
            <w:r>
              <w:t>Anual</w:t>
            </w:r>
          </w:p>
        </w:tc>
        <w:tc>
          <w:tcPr>
            <w:tcW w:w="0" w:type="auto"/>
            <w:vAlign w:val="center"/>
            <w:hideMark/>
          </w:tcPr>
          <w:p w14:paraId="2C234824" w14:textId="77777777" w:rsidR="00AC7188" w:rsidRDefault="00AC7188" w:rsidP="00AC7188">
            <w:r>
              <w:t>Presidência e Controladoria</w:t>
            </w:r>
          </w:p>
        </w:tc>
        <w:tc>
          <w:tcPr>
            <w:tcW w:w="0" w:type="auto"/>
            <w:vAlign w:val="center"/>
            <w:hideMark/>
          </w:tcPr>
          <w:p w14:paraId="60935C80" w14:textId="77777777" w:rsidR="00AC7188" w:rsidRDefault="00AC7188" w:rsidP="00AC7188">
            <w:r>
              <w:t>Avaliação de Resultados e Plano de Ação Corretiva</w:t>
            </w:r>
          </w:p>
        </w:tc>
      </w:tr>
      <w:tr w:rsidR="00AC7188" w14:paraId="0FB4A7AF" w14:textId="77777777" w:rsidTr="00AC71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E97C4" w14:textId="77777777" w:rsidR="00AC7188" w:rsidRDefault="00AC7188" w:rsidP="00AC7188">
            <w:r>
              <w:t>Quadrienal</w:t>
            </w:r>
          </w:p>
        </w:tc>
        <w:tc>
          <w:tcPr>
            <w:tcW w:w="0" w:type="auto"/>
            <w:vAlign w:val="center"/>
            <w:hideMark/>
          </w:tcPr>
          <w:p w14:paraId="0DF13829" w14:textId="77777777" w:rsidR="00AC7188" w:rsidRDefault="00AC7188" w:rsidP="00AC7188">
            <w:r>
              <w:t>Mesa Diretora</w:t>
            </w:r>
          </w:p>
        </w:tc>
        <w:tc>
          <w:tcPr>
            <w:tcW w:w="0" w:type="auto"/>
            <w:vAlign w:val="center"/>
            <w:hideMark/>
          </w:tcPr>
          <w:p w14:paraId="7A043D68" w14:textId="77777777" w:rsidR="00AC7188" w:rsidRDefault="00AC7188" w:rsidP="00AC7188">
            <w:r>
              <w:t>Revisão e atualização do Plano Estratégico</w:t>
            </w:r>
          </w:p>
        </w:tc>
      </w:tr>
    </w:tbl>
    <w:p w14:paraId="67000B0E" w14:textId="77777777" w:rsidR="00AC7188" w:rsidRDefault="00AC7188" w:rsidP="00AC7188">
      <w:pPr>
        <w:pStyle w:val="Corpodetexto"/>
        <w:spacing w:line="360" w:lineRule="auto"/>
        <w:ind w:left="854" w:right="137" w:firstLine="704"/>
        <w:jc w:val="both"/>
      </w:pPr>
    </w:p>
    <w:p w14:paraId="2E83925A" w14:textId="07B5178B" w:rsidR="00AC7188" w:rsidRDefault="00AC7188" w:rsidP="00AC7188"/>
    <w:p w14:paraId="76272C72" w14:textId="77777777" w:rsidR="00AC7188" w:rsidRDefault="00AC7188" w:rsidP="00AC7188">
      <w:pPr>
        <w:pStyle w:val="Ttulo2"/>
        <w:rPr>
          <w:rStyle w:val="Forte"/>
          <w:b w:val="0"/>
          <w:bCs w:val="0"/>
        </w:rPr>
      </w:pPr>
    </w:p>
    <w:p w14:paraId="59E63557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5596A12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C979E8B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0F13C85E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15A1076A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4A070CD0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4A451DB4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59A08B38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35B98E15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A77DA7E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9A6C198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56391318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6A7748C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440765AE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78FCB32F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08402C25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5536774B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C1E1011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43C8A8DA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E9C1E73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EB7CB35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1E886E77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4330C700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1644C6C3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2DC5AFE5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6AEB7964" w14:textId="77777777" w:rsidR="00BB3065" w:rsidRDefault="00BB3065" w:rsidP="00AC7188">
      <w:pPr>
        <w:pStyle w:val="Ttulo1"/>
        <w:spacing w:before="1"/>
        <w:ind w:left="4283" w:hanging="881"/>
        <w:rPr>
          <w:spacing w:val="-2"/>
        </w:rPr>
      </w:pPr>
    </w:p>
    <w:p w14:paraId="59CE066C" w14:textId="77777777" w:rsidR="00C83E4F" w:rsidRDefault="00C83E4F" w:rsidP="00AC7188">
      <w:pPr>
        <w:pStyle w:val="Ttulo1"/>
        <w:spacing w:before="1"/>
        <w:ind w:left="4283" w:hanging="881"/>
        <w:rPr>
          <w:spacing w:val="-2"/>
        </w:rPr>
      </w:pPr>
    </w:p>
    <w:p w14:paraId="5F97D23B" w14:textId="77777777" w:rsidR="00C83E4F" w:rsidRDefault="00C83E4F" w:rsidP="00AC7188">
      <w:pPr>
        <w:pStyle w:val="Ttulo1"/>
        <w:spacing w:before="1"/>
        <w:ind w:left="4283" w:hanging="881"/>
        <w:rPr>
          <w:spacing w:val="-2"/>
        </w:rPr>
      </w:pPr>
    </w:p>
    <w:p w14:paraId="0892579F" w14:textId="4FD954D2" w:rsidR="00AC7188" w:rsidRPr="00AC7188" w:rsidRDefault="00AC7188" w:rsidP="00AC7188">
      <w:pPr>
        <w:pStyle w:val="Ttulo1"/>
        <w:spacing w:before="1"/>
        <w:ind w:left="4283" w:hanging="881"/>
        <w:rPr>
          <w:spacing w:val="-2"/>
        </w:rPr>
      </w:pPr>
      <w:r w:rsidRPr="00AC7188">
        <w:rPr>
          <w:spacing w:val="-2"/>
        </w:rPr>
        <w:lastRenderedPageBreak/>
        <w:t>Conclusão</w:t>
      </w:r>
    </w:p>
    <w:p w14:paraId="4BC6C785" w14:textId="77777777" w:rsidR="00AC7188" w:rsidRDefault="00AC7188" w:rsidP="00AC7188">
      <w:pPr>
        <w:pStyle w:val="NormalWeb"/>
        <w:rPr>
          <w:rFonts w:ascii="Arial" w:eastAsia="Arial" w:hAnsi="Arial" w:cs="Arial"/>
          <w:lang w:val="pt-PT" w:eastAsia="en-US"/>
        </w:rPr>
      </w:pPr>
    </w:p>
    <w:p w14:paraId="14436E8E" w14:textId="77777777" w:rsidR="00AC7188" w:rsidRDefault="00AC7188" w:rsidP="00BB3065">
      <w:pPr>
        <w:pStyle w:val="NormalWeb"/>
        <w:ind w:firstLine="1560"/>
        <w:jc w:val="both"/>
        <w:rPr>
          <w:rFonts w:ascii="Arial" w:eastAsia="Arial" w:hAnsi="Arial" w:cs="Arial"/>
          <w:lang w:val="pt-PT" w:eastAsia="en-US"/>
        </w:rPr>
      </w:pPr>
      <w:r w:rsidRPr="00AC7188">
        <w:rPr>
          <w:rFonts w:ascii="Arial" w:eastAsia="Arial" w:hAnsi="Arial" w:cs="Arial"/>
          <w:lang w:val="pt-PT" w:eastAsia="en-US"/>
        </w:rPr>
        <w:t xml:space="preserve">O presente </w:t>
      </w:r>
      <w:r w:rsidRPr="00AC7188">
        <w:rPr>
          <w:rFonts w:ascii="Arial" w:eastAsia="Arial" w:hAnsi="Arial" w:cs="Arial"/>
          <w:b/>
          <w:bCs/>
          <w:lang w:val="pt-PT" w:eastAsia="en-US"/>
        </w:rPr>
        <w:t>Plano Estratégico Institucional 2024–2027</w:t>
      </w:r>
      <w:r w:rsidRPr="00AC7188">
        <w:rPr>
          <w:rFonts w:ascii="Arial" w:eastAsia="Arial" w:hAnsi="Arial" w:cs="Arial"/>
          <w:lang w:val="pt-PT" w:eastAsia="en-US"/>
        </w:rPr>
        <w:t xml:space="preserve"> estabelece diretrizes, metas e indicadores que possibilitam mensurar o desempenho da Câmara Municipal de Equador/RN.</w:t>
      </w:r>
      <w:r>
        <w:rPr>
          <w:rFonts w:ascii="Arial" w:eastAsia="Arial" w:hAnsi="Arial" w:cs="Arial"/>
          <w:lang w:val="pt-PT" w:eastAsia="en-US"/>
        </w:rPr>
        <w:t xml:space="preserve"> </w:t>
      </w:r>
      <w:r w:rsidRPr="00AC7188">
        <w:rPr>
          <w:rFonts w:ascii="Arial" w:eastAsia="Arial" w:hAnsi="Arial" w:cs="Arial"/>
          <w:lang w:val="pt-PT" w:eastAsia="en-US"/>
        </w:rPr>
        <w:t xml:space="preserve">Com ele, a Casa Legislativa fortalece sua </w:t>
      </w:r>
      <w:r w:rsidRPr="00AC7188">
        <w:rPr>
          <w:rFonts w:ascii="Arial" w:eastAsia="Arial" w:hAnsi="Arial" w:cs="Arial"/>
          <w:b/>
          <w:bCs/>
          <w:lang w:val="pt-PT" w:eastAsia="en-US"/>
        </w:rPr>
        <w:t>governança pública</w:t>
      </w:r>
      <w:r w:rsidRPr="00AC7188">
        <w:rPr>
          <w:rFonts w:ascii="Arial" w:eastAsia="Arial" w:hAnsi="Arial" w:cs="Arial"/>
          <w:lang w:val="pt-PT" w:eastAsia="en-US"/>
        </w:rPr>
        <w:t xml:space="preserve">, aprimora a </w:t>
      </w:r>
      <w:r w:rsidRPr="00AC7188">
        <w:rPr>
          <w:rFonts w:ascii="Arial" w:eastAsia="Arial" w:hAnsi="Arial" w:cs="Arial"/>
          <w:b/>
          <w:bCs/>
          <w:lang w:val="pt-PT" w:eastAsia="en-US"/>
        </w:rPr>
        <w:t>gestão por resultados</w:t>
      </w:r>
      <w:r w:rsidRPr="00AC7188">
        <w:rPr>
          <w:rFonts w:ascii="Arial" w:eastAsia="Arial" w:hAnsi="Arial" w:cs="Arial"/>
          <w:lang w:val="pt-PT" w:eastAsia="en-US"/>
        </w:rPr>
        <w:t xml:space="preserve"> e assegura </w:t>
      </w:r>
      <w:r w:rsidRPr="00AC7188">
        <w:rPr>
          <w:rFonts w:ascii="Arial" w:eastAsia="Arial" w:hAnsi="Arial" w:cs="Arial"/>
          <w:b/>
          <w:bCs/>
          <w:lang w:val="pt-PT" w:eastAsia="en-US"/>
        </w:rPr>
        <w:t>transparência ativa</w:t>
      </w:r>
      <w:r w:rsidRPr="00AC7188">
        <w:rPr>
          <w:rFonts w:ascii="Arial" w:eastAsia="Arial" w:hAnsi="Arial" w:cs="Arial"/>
          <w:lang w:val="pt-PT" w:eastAsia="en-US"/>
        </w:rPr>
        <w:t xml:space="preserve"> de acordo com as exigências do </w:t>
      </w:r>
      <w:r w:rsidRPr="00AC7188">
        <w:rPr>
          <w:rFonts w:ascii="Arial" w:eastAsia="Arial" w:hAnsi="Arial" w:cs="Arial"/>
          <w:b/>
          <w:bCs/>
          <w:lang w:val="pt-PT" w:eastAsia="en-US"/>
        </w:rPr>
        <w:t>TCERN</w:t>
      </w:r>
      <w:r w:rsidRPr="00AC7188">
        <w:rPr>
          <w:rFonts w:ascii="Arial" w:eastAsia="Arial" w:hAnsi="Arial" w:cs="Arial"/>
          <w:lang w:val="pt-PT" w:eastAsia="en-US"/>
        </w:rPr>
        <w:t xml:space="preserve"> e do </w:t>
      </w:r>
      <w:r w:rsidRPr="00AC7188">
        <w:rPr>
          <w:rFonts w:ascii="Arial" w:eastAsia="Arial" w:hAnsi="Arial" w:cs="Arial"/>
          <w:b/>
          <w:bCs/>
          <w:lang w:val="pt-PT" w:eastAsia="en-US"/>
        </w:rPr>
        <w:t>TCU</w:t>
      </w:r>
      <w:r w:rsidRPr="00AC7188">
        <w:rPr>
          <w:rFonts w:ascii="Arial" w:eastAsia="Arial" w:hAnsi="Arial" w:cs="Arial"/>
          <w:lang w:val="pt-PT" w:eastAsia="en-US"/>
        </w:rPr>
        <w:t>.</w:t>
      </w:r>
    </w:p>
    <w:p w14:paraId="23B8F4A9" w14:textId="1BB9AF52" w:rsidR="00BB3065" w:rsidRPr="00AC7188" w:rsidRDefault="00BB3065" w:rsidP="00BB3065">
      <w:pPr>
        <w:pStyle w:val="NormalWeb"/>
        <w:ind w:firstLine="1560"/>
        <w:jc w:val="both"/>
        <w:rPr>
          <w:rFonts w:ascii="Arial" w:eastAsia="Arial" w:hAnsi="Arial" w:cs="Arial"/>
          <w:lang w:val="pt-PT" w:eastAsia="en-US"/>
        </w:rPr>
        <w:sectPr w:rsidR="00BB3065" w:rsidRPr="00AC7188">
          <w:headerReference w:type="default" r:id="rId8"/>
          <w:pgSz w:w="11940" w:h="16860"/>
          <w:pgMar w:top="2000" w:right="1559" w:bottom="280" w:left="850" w:header="166" w:footer="0" w:gutter="0"/>
          <w:cols w:space="720"/>
        </w:sectPr>
      </w:pPr>
    </w:p>
    <w:p w14:paraId="023A902D" w14:textId="77777777" w:rsidR="00BB3065" w:rsidRDefault="00BB3065" w:rsidP="00AC7188">
      <w:pPr>
        <w:pStyle w:val="Corpodetexto"/>
        <w:spacing w:line="360" w:lineRule="auto"/>
        <w:ind w:right="116"/>
        <w:jc w:val="both"/>
      </w:pPr>
    </w:p>
    <w:sectPr w:rsidR="00BB3065">
      <w:headerReference w:type="default" r:id="rId9"/>
      <w:pgSz w:w="11940" w:h="16860"/>
      <w:pgMar w:top="1860" w:right="992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21A9" w14:textId="77777777" w:rsidR="00F15B15" w:rsidRDefault="00F15B15">
      <w:r>
        <w:separator/>
      </w:r>
    </w:p>
  </w:endnote>
  <w:endnote w:type="continuationSeparator" w:id="0">
    <w:p w14:paraId="382230B2" w14:textId="77777777" w:rsidR="00F15B15" w:rsidRDefault="00F1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1FB2" w14:textId="77777777" w:rsidR="00F15B15" w:rsidRDefault="00F15B15">
      <w:r>
        <w:separator/>
      </w:r>
    </w:p>
  </w:footnote>
  <w:footnote w:type="continuationSeparator" w:id="0">
    <w:p w14:paraId="15ECB252" w14:textId="77777777" w:rsidR="00F15B15" w:rsidRDefault="00F1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700B" w14:textId="77777777" w:rsidR="00CA779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688" behindDoc="1" locked="0" layoutInCell="1" allowOverlap="1" wp14:anchorId="3A1CCBE8" wp14:editId="7DC76030">
          <wp:simplePos x="0" y="0"/>
          <wp:positionH relativeFrom="page">
            <wp:posOffset>2268854</wp:posOffset>
          </wp:positionH>
          <wp:positionV relativeFrom="page">
            <wp:posOffset>105410</wp:posOffset>
          </wp:positionV>
          <wp:extent cx="3029585" cy="1050001"/>
          <wp:effectExtent l="0" t="0" r="0" b="0"/>
          <wp:wrapNone/>
          <wp:docPr id="2000434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9585" cy="105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num w:numId="1" w16cid:durableId="1522816721">
    <w:abstractNumId w:val="7"/>
  </w:num>
  <w:num w:numId="2" w16cid:durableId="366612723">
    <w:abstractNumId w:val="3"/>
  </w:num>
  <w:num w:numId="3" w16cid:durableId="935017801">
    <w:abstractNumId w:val="0"/>
  </w:num>
  <w:num w:numId="4" w16cid:durableId="1062823830">
    <w:abstractNumId w:val="4"/>
  </w:num>
  <w:num w:numId="5" w16cid:durableId="528955357">
    <w:abstractNumId w:val="1"/>
  </w:num>
  <w:num w:numId="6" w16cid:durableId="787311080">
    <w:abstractNumId w:val="5"/>
  </w:num>
  <w:num w:numId="7" w16cid:durableId="45951291">
    <w:abstractNumId w:val="2"/>
  </w:num>
  <w:num w:numId="8" w16cid:durableId="120464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662A68"/>
    <w:rsid w:val="00AC7188"/>
    <w:rsid w:val="00BB3065"/>
    <w:rsid w:val="00C83E4F"/>
    <w:rsid w:val="00CA7794"/>
    <w:rsid w:val="00E14BA2"/>
    <w:rsid w:val="00F15B15"/>
    <w:rsid w:val="00F2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3</cp:revision>
  <dcterms:created xsi:type="dcterms:W3CDTF">2025-10-10T17:59:00Z</dcterms:created>
  <dcterms:modified xsi:type="dcterms:W3CDTF">2025-10-10T17:59:00Z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